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F7E8D" w:rsidP="004A6D2F">
            <w:pPr>
              <w:rPr>
                <w:rStyle w:val="Firstpagetablebold"/>
              </w:rPr>
            </w:pPr>
            <w:r>
              <w:rPr>
                <w:rStyle w:val="Firstpagetablebold"/>
              </w:rPr>
              <w:t xml:space="preserve">Cabinet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A63D0" w:rsidP="005D0621">
            <w:pPr>
              <w:rPr>
                <w:b/>
              </w:rPr>
            </w:pPr>
            <w:r>
              <w:rPr>
                <w:b/>
              </w:rPr>
              <w:t xml:space="preserve">29 May </w:t>
            </w:r>
            <w:r w:rsidR="00400098">
              <w:rPr>
                <w:b/>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EA63D0" w:rsidP="00EA63D0">
            <w:pPr>
              <w:rPr>
                <w:rStyle w:val="Firstpagetablebold"/>
              </w:rPr>
            </w:pPr>
            <w:r>
              <w:rPr>
                <w:b/>
              </w:rPr>
              <w:t xml:space="preserve">Transition </w:t>
            </w:r>
            <w:r w:rsidR="00400098" w:rsidRPr="00100580">
              <w:rPr>
                <w:b/>
              </w:rPr>
              <w:t xml:space="preserve">Director  </w:t>
            </w:r>
          </w:p>
        </w:tc>
      </w:tr>
      <w:tr w:rsidR="00400098" w:rsidRPr="00975B07" w:rsidTr="005F7F7E">
        <w:tc>
          <w:tcPr>
            <w:tcW w:w="2438" w:type="dxa"/>
            <w:shd w:val="clear" w:color="auto" w:fill="auto"/>
          </w:tcPr>
          <w:p w:rsidR="00400098" w:rsidRPr="00975B07" w:rsidRDefault="00400098" w:rsidP="004A6D2F">
            <w:pPr>
              <w:rPr>
                <w:rStyle w:val="Firstpagetablebold"/>
              </w:rPr>
            </w:pPr>
            <w:r w:rsidRPr="00975B07">
              <w:rPr>
                <w:rStyle w:val="Firstpagetablebold"/>
              </w:rPr>
              <w:t xml:space="preserve">Title of Report: </w:t>
            </w:r>
          </w:p>
        </w:tc>
        <w:tc>
          <w:tcPr>
            <w:tcW w:w="6406" w:type="dxa"/>
            <w:shd w:val="clear" w:color="auto" w:fill="auto"/>
          </w:tcPr>
          <w:p w:rsidR="00400098" w:rsidRPr="001356F1" w:rsidRDefault="00400098" w:rsidP="008B4DC5">
            <w:pPr>
              <w:rPr>
                <w:rStyle w:val="Firstpagetablebold"/>
              </w:rPr>
            </w:pPr>
            <w:r>
              <w:rPr>
                <w:rStyle w:val="Firstpagetablebold"/>
              </w:rPr>
              <w:t>City &amp; County P</w:t>
            </w:r>
            <w:r w:rsidR="00AB515B">
              <w:rPr>
                <w:rStyle w:val="Firstpagetablebold"/>
              </w:rPr>
              <w:t xml:space="preserve">ark </w:t>
            </w:r>
            <w:r>
              <w:rPr>
                <w:rStyle w:val="Firstpagetablebold"/>
              </w:rPr>
              <w:t>&amp;R</w:t>
            </w:r>
            <w:r w:rsidR="00AB515B">
              <w:rPr>
                <w:rStyle w:val="Firstpagetablebold"/>
              </w:rPr>
              <w:t>ide</w:t>
            </w:r>
            <w:r>
              <w:rPr>
                <w:rStyle w:val="Firstpagetablebold"/>
              </w:rPr>
              <w:t xml:space="preserve"> Agency Agreement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844E7" w:rsidP="001844E7">
            <w:r>
              <w:t xml:space="preserve">Park &amp; Ride Management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844E7" w:rsidRDefault="00D5547E" w:rsidP="005F7F7E">
            <w:pPr>
              <w:rPr>
                <w:color w:val="1F497D"/>
              </w:rPr>
            </w:pPr>
            <w:r w:rsidRPr="003F7E8D">
              <w:rPr>
                <w:color w:val="auto"/>
              </w:rPr>
              <w:t>No</w:t>
            </w:r>
            <w:r w:rsidR="00ED7555" w:rsidRPr="003F7E8D">
              <w:rPr>
                <w:color w:val="auto"/>
              </w:rPr>
              <w:t xml:space="preserve"> </w:t>
            </w:r>
          </w:p>
        </w:tc>
      </w:tr>
      <w:tr w:rsidR="00400098" w:rsidTr="0080749A">
        <w:tc>
          <w:tcPr>
            <w:tcW w:w="2438" w:type="dxa"/>
            <w:gridSpan w:val="2"/>
            <w:tcBorders>
              <w:top w:val="nil"/>
              <w:left w:val="single" w:sz="8" w:space="0" w:color="000000"/>
              <w:bottom w:val="nil"/>
              <w:right w:val="nil"/>
            </w:tcBorders>
            <w:hideMark/>
          </w:tcPr>
          <w:p w:rsidR="00400098" w:rsidRDefault="00990EF1">
            <w:pPr>
              <w:rPr>
                <w:rStyle w:val="Firstpagetablebold"/>
              </w:rPr>
            </w:pPr>
            <w:r>
              <w:rPr>
                <w:rStyle w:val="Firstpagetablebold"/>
              </w:rPr>
              <w:t xml:space="preserve">Cabinet </w:t>
            </w:r>
            <w:r w:rsidR="00400098">
              <w:rPr>
                <w:rStyle w:val="Firstpagetablebold"/>
              </w:rPr>
              <w:t>Member:</w:t>
            </w:r>
          </w:p>
        </w:tc>
        <w:tc>
          <w:tcPr>
            <w:tcW w:w="6407" w:type="dxa"/>
            <w:tcBorders>
              <w:top w:val="nil"/>
              <w:left w:val="nil"/>
              <w:bottom w:val="nil"/>
              <w:right w:val="single" w:sz="8" w:space="0" w:color="000000"/>
            </w:tcBorders>
            <w:hideMark/>
          </w:tcPr>
          <w:p w:rsidR="00400098" w:rsidRPr="001844E7" w:rsidRDefault="00400098" w:rsidP="00990EF1">
            <w:r w:rsidRPr="001844E7">
              <w:t xml:space="preserve">Planning and </w:t>
            </w:r>
            <w:r w:rsidR="00990EF1">
              <w:t>Transport</w:t>
            </w:r>
          </w:p>
        </w:tc>
      </w:tr>
      <w:tr w:rsidR="00400098" w:rsidTr="0080749A">
        <w:tc>
          <w:tcPr>
            <w:tcW w:w="2438" w:type="dxa"/>
            <w:gridSpan w:val="2"/>
            <w:tcBorders>
              <w:top w:val="nil"/>
              <w:left w:val="single" w:sz="8" w:space="0" w:color="000000"/>
              <w:bottom w:val="nil"/>
              <w:right w:val="nil"/>
            </w:tcBorders>
          </w:tcPr>
          <w:p w:rsidR="00400098" w:rsidRDefault="0040009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400098" w:rsidRPr="001844E7" w:rsidRDefault="00400098" w:rsidP="008B4DC5">
            <w:r w:rsidRPr="001844E7">
              <w:t>A Vibrant and Sustainable Economy.</w:t>
            </w:r>
          </w:p>
        </w:tc>
      </w:tr>
      <w:tr w:rsidR="00D5547E" w:rsidTr="00400098">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tcPr>
          <w:p w:rsidR="00D5547E" w:rsidRPr="001844E7" w:rsidRDefault="00400098" w:rsidP="005F7F7E">
            <w:r w:rsidRPr="001844E7">
              <w:t xml:space="preserve">None </w:t>
            </w:r>
          </w:p>
        </w:tc>
      </w:tr>
      <w:tr w:rsidR="005F7F7E" w:rsidRPr="00975B07" w:rsidTr="00A46E98">
        <w:trPr>
          <w:trHeight w:val="413"/>
        </w:trPr>
        <w:tc>
          <w:tcPr>
            <w:tcW w:w="8845" w:type="dxa"/>
            <w:gridSpan w:val="3"/>
            <w:tcBorders>
              <w:bottom w:val="single" w:sz="8" w:space="0" w:color="000000"/>
            </w:tcBorders>
          </w:tcPr>
          <w:p w:rsidR="005F7F7E" w:rsidRPr="00975B07" w:rsidRDefault="003F7E8D" w:rsidP="003F7E8D">
            <w:r>
              <w:rPr>
                <w:rStyle w:val="Firstpagetablebold"/>
              </w:rPr>
              <w:t>Recommendation</w:t>
            </w:r>
            <w:r w:rsidR="005F7F7E">
              <w:rPr>
                <w:rStyle w:val="Firstpagetablebold"/>
              </w:rPr>
              <w:t>s:</w:t>
            </w:r>
            <w:r>
              <w:rPr>
                <w:rStyle w:val="Firstpagetablebold"/>
              </w:rPr>
              <w:t xml:space="preserve"> </w:t>
            </w:r>
            <w:r w:rsidR="005F7F7E" w:rsidRPr="003F7E8D">
              <w:rPr>
                <w:rStyle w:val="Firstpagetablebold"/>
                <w:b w:val="0"/>
              </w:rPr>
              <w:t xml:space="preserve">That </w:t>
            </w:r>
            <w:r w:rsidRPr="003F7E8D">
              <w:rPr>
                <w:rStyle w:val="Firstpagetablebold"/>
                <w:b w:val="0"/>
              </w:rPr>
              <w:t xml:space="preserve">Cabinet </w:t>
            </w:r>
            <w:r w:rsidR="005F7F7E" w:rsidRPr="003F7E8D">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271A8F" w:rsidRDefault="00FA6262" w:rsidP="0054751E">
            <w:pPr>
              <w:rPr>
                <w:color w:val="FF0000"/>
              </w:rPr>
            </w:pPr>
            <w:r w:rsidRPr="00323575">
              <w:rPr>
                <w:b/>
                <w:color w:val="auto"/>
              </w:rPr>
              <w:t>Authorise</w:t>
            </w:r>
            <w:r>
              <w:rPr>
                <w:color w:val="auto"/>
              </w:rPr>
              <w:t xml:space="preserve"> the Council’s </w:t>
            </w:r>
            <w:r w:rsidR="001C3D47">
              <w:rPr>
                <w:color w:val="auto"/>
              </w:rPr>
              <w:t xml:space="preserve">entry </w:t>
            </w:r>
            <w:r w:rsidR="001C3D47" w:rsidRPr="00800D23">
              <w:rPr>
                <w:color w:val="auto"/>
              </w:rPr>
              <w:t>into</w:t>
            </w:r>
            <w:r w:rsidR="00017D39" w:rsidRPr="00800D23">
              <w:rPr>
                <w:color w:val="auto"/>
              </w:rPr>
              <w:t xml:space="preserve"> an Agency Agreement with Oxfordshire County Council </w:t>
            </w:r>
            <w:r>
              <w:rPr>
                <w:color w:val="auto"/>
              </w:rPr>
              <w:t>under which the City Council would be appointed to provide</w:t>
            </w:r>
            <w:r w:rsidR="0054751E" w:rsidRPr="00800D23">
              <w:rPr>
                <w:color w:val="auto"/>
              </w:rPr>
              <w:t xml:space="preserve"> management services for Oxfordshire County Council’s </w:t>
            </w:r>
            <w:r>
              <w:rPr>
                <w:color w:val="auto"/>
              </w:rPr>
              <w:t xml:space="preserve">two </w:t>
            </w:r>
            <w:r w:rsidR="006A5A4B">
              <w:rPr>
                <w:color w:val="auto"/>
              </w:rPr>
              <w:t xml:space="preserve">Oxford </w:t>
            </w:r>
            <w:r w:rsidR="0054751E" w:rsidRPr="00800D23">
              <w:rPr>
                <w:color w:val="auto"/>
              </w:rPr>
              <w:t>Park &amp; Ride sites</w:t>
            </w:r>
            <w:r w:rsidR="009D0AFC">
              <w:rPr>
                <w:color w:val="auto"/>
              </w:rPr>
              <w:t xml:space="preserve"> – Thornhill and </w:t>
            </w:r>
            <w:r w:rsidR="00D0587B">
              <w:rPr>
                <w:color w:val="auto"/>
              </w:rPr>
              <w:t>Oxford Parkway (</w:t>
            </w:r>
            <w:r w:rsidR="009D0AFC">
              <w:rPr>
                <w:color w:val="auto"/>
              </w:rPr>
              <w:t>Water Eaton</w:t>
            </w:r>
            <w:r w:rsidR="00D0587B">
              <w:rPr>
                <w:color w:val="auto"/>
              </w:rPr>
              <w:t>)</w:t>
            </w:r>
            <w:r w:rsidR="0054751E" w:rsidRPr="00800D23">
              <w:rPr>
                <w:color w:val="auto"/>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003388" w:rsidRDefault="00FA6262" w:rsidP="002069B3">
            <w:r w:rsidRPr="00323575">
              <w:rPr>
                <w:b/>
              </w:rPr>
              <w:t>Authorise</w:t>
            </w:r>
            <w:r>
              <w:t xml:space="preserve"> the Council’s entry into an agreement with Oxford Direct Services Limited (“ODSL”) under which </w:t>
            </w:r>
            <w:r w:rsidR="00003388">
              <w:t xml:space="preserve">the management responsibilities taken on by the Council under the Agency Agreement with the County Council referred to in Recommendation 1 above would be carried out by ODSL; </w:t>
            </w:r>
            <w:r w:rsidR="00323575">
              <w:t>and</w:t>
            </w:r>
          </w:p>
          <w:p w:rsidR="0030208D" w:rsidRPr="001356F1" w:rsidRDefault="0030208D" w:rsidP="002069B3"/>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30208D" w:rsidRPr="001356F1" w:rsidRDefault="003F7E8D" w:rsidP="003F7E8D">
            <w:r w:rsidRPr="00323575">
              <w:rPr>
                <w:b/>
              </w:rPr>
              <w:t>Delegate authority</w:t>
            </w:r>
            <w:r>
              <w:t xml:space="preserve"> to </w:t>
            </w:r>
            <w:r w:rsidR="00003388">
              <w:t xml:space="preserve">the Chief Executive in consultation with the Council’s Monitoring Officer and s151 Officer to agree the terms of the Council’s entry into the two agreements referred to </w:t>
            </w:r>
            <w:r w:rsidR="00B75288">
              <w:t xml:space="preserve">in Recommendations 1 and 2 </w:t>
            </w:r>
            <w:r w:rsidR="00003388">
              <w:t xml:space="preserve">above. </w:t>
            </w:r>
          </w:p>
        </w:tc>
      </w:tr>
      <w:bookmarkEnd w:id="0"/>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B7890">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3F7E8D" w:rsidP="004A6D2F">
            <w:r>
              <w:t>None</w:t>
            </w:r>
          </w:p>
        </w:tc>
        <w:tc>
          <w:tcPr>
            <w:tcW w:w="6406" w:type="dxa"/>
            <w:tcBorders>
              <w:top w:val="single" w:sz="8" w:space="0" w:color="000000"/>
              <w:left w:val="nil"/>
              <w:bottom w:val="single" w:sz="4" w:space="0" w:color="auto"/>
              <w:right w:val="single" w:sz="8" w:space="0" w:color="000000"/>
            </w:tcBorders>
          </w:tcPr>
          <w:p w:rsidR="00ED5860" w:rsidRPr="001356F1" w:rsidRDefault="00ED5860" w:rsidP="004A6D2F"/>
        </w:tc>
      </w:tr>
    </w:tbl>
    <w:p w:rsidR="00263C37" w:rsidRDefault="00263C37" w:rsidP="004A6D2F">
      <w:pPr>
        <w:pStyle w:val="Heading1"/>
      </w:pPr>
    </w:p>
    <w:p w:rsidR="00263C37" w:rsidRDefault="00263C37" w:rsidP="004A6D2F">
      <w:pPr>
        <w:pStyle w:val="Heading1"/>
      </w:pPr>
    </w:p>
    <w:p w:rsidR="00263C37" w:rsidRDefault="00263C37" w:rsidP="004A6D2F">
      <w:pPr>
        <w:pStyle w:val="Heading1"/>
      </w:pPr>
    </w:p>
    <w:p w:rsidR="00263C37" w:rsidRPr="00263C37" w:rsidRDefault="00F66DCA" w:rsidP="00CB7890">
      <w:pPr>
        <w:pStyle w:val="Heading1"/>
      </w:pPr>
      <w:r w:rsidRPr="001356F1">
        <w:lastRenderedPageBreak/>
        <w:t>Introduction and b</w:t>
      </w:r>
      <w:r w:rsidR="00151888" w:rsidRPr="001356F1">
        <w:t>ackground</w:t>
      </w:r>
      <w:r w:rsidR="00404032" w:rsidRPr="001356F1">
        <w:t xml:space="preserve"> </w:t>
      </w:r>
    </w:p>
    <w:p w:rsidR="00401575" w:rsidRPr="001844E7" w:rsidRDefault="00401575" w:rsidP="00401575">
      <w:pPr>
        <w:ind w:left="720"/>
        <w:rPr>
          <w:rFonts w:eastAsia="Calibri" w:cs="Arial"/>
          <w:color w:val="auto"/>
          <w:lang w:eastAsia="en-US"/>
        </w:rPr>
      </w:pPr>
    </w:p>
    <w:p w:rsidR="00263C37" w:rsidRPr="001844E7" w:rsidRDefault="00263C37" w:rsidP="00263C37">
      <w:pPr>
        <w:numPr>
          <w:ilvl w:val="0"/>
          <w:numId w:val="34"/>
        </w:numPr>
        <w:rPr>
          <w:rFonts w:eastAsia="Calibri" w:cs="Arial"/>
          <w:color w:val="auto"/>
          <w:lang w:eastAsia="en-US"/>
        </w:rPr>
      </w:pPr>
      <w:r w:rsidRPr="001844E7">
        <w:rPr>
          <w:rFonts w:eastAsia="Calibri" w:cs="Arial"/>
          <w:color w:val="auto"/>
          <w:lang w:eastAsia="en-US"/>
        </w:rPr>
        <w:t>Oxfordshire County Council and Oxford City Council have committed to explore what benefits could be achieved if the</w:t>
      </w:r>
      <w:r w:rsidR="00B75288">
        <w:rPr>
          <w:rFonts w:eastAsia="Calibri" w:cs="Arial"/>
          <w:color w:val="auto"/>
          <w:lang w:eastAsia="en-US"/>
        </w:rPr>
        <w:t>ir</w:t>
      </w:r>
      <w:r w:rsidRPr="001844E7">
        <w:rPr>
          <w:rFonts w:eastAsia="Calibri" w:cs="Arial"/>
          <w:color w:val="auto"/>
          <w:lang w:eastAsia="en-US"/>
        </w:rPr>
        <w:t xml:space="preserve"> parking policies and services were closer aligned. </w:t>
      </w:r>
    </w:p>
    <w:p w:rsidR="0092626C" w:rsidRPr="001844E7" w:rsidRDefault="0092626C" w:rsidP="0092626C">
      <w:pPr>
        <w:pStyle w:val="ListParagraph"/>
        <w:numPr>
          <w:ilvl w:val="0"/>
          <w:numId w:val="0"/>
        </w:numPr>
        <w:tabs>
          <w:tab w:val="clear" w:pos="426"/>
        </w:tabs>
        <w:spacing w:after="0"/>
        <w:ind w:left="720"/>
        <w:contextualSpacing/>
        <w:rPr>
          <w:rFonts w:eastAsia="Calibri" w:cs="Arial"/>
          <w:color w:val="auto"/>
          <w:lang w:eastAsia="en-US"/>
        </w:rPr>
      </w:pPr>
    </w:p>
    <w:p w:rsidR="008B4DC5" w:rsidRPr="001844E7" w:rsidRDefault="008B4DC5" w:rsidP="008B4DC5">
      <w:pPr>
        <w:numPr>
          <w:ilvl w:val="0"/>
          <w:numId w:val="34"/>
        </w:numPr>
        <w:rPr>
          <w:rFonts w:eastAsia="Calibri" w:cs="Arial"/>
          <w:color w:val="auto"/>
          <w:lang w:eastAsia="en-US"/>
        </w:rPr>
      </w:pPr>
      <w:r w:rsidRPr="001844E7">
        <w:rPr>
          <w:rFonts w:eastAsia="Calibri" w:cs="Arial"/>
          <w:color w:val="auto"/>
          <w:lang w:eastAsia="en-US"/>
        </w:rPr>
        <w:t xml:space="preserve">One element of the project was to explore whether the Park &amp; Ride (P&amp;R) operation could be delivered differently. This included the </w:t>
      </w:r>
      <w:r w:rsidR="00263C37" w:rsidRPr="001844E7">
        <w:rPr>
          <w:rFonts w:eastAsia="Calibri" w:cs="Arial"/>
          <w:color w:val="auto"/>
          <w:lang w:eastAsia="en-US"/>
        </w:rPr>
        <w:t xml:space="preserve">management </w:t>
      </w:r>
      <w:r w:rsidRPr="001844E7">
        <w:rPr>
          <w:rFonts w:eastAsia="Calibri" w:cs="Arial"/>
          <w:color w:val="auto"/>
          <w:lang w:eastAsia="en-US"/>
        </w:rPr>
        <w:t>of the sites</w:t>
      </w:r>
      <w:r w:rsidR="004B15F7" w:rsidRPr="001844E7">
        <w:rPr>
          <w:rFonts w:eastAsia="Calibri" w:cs="Arial"/>
          <w:color w:val="auto"/>
          <w:lang w:eastAsia="en-US"/>
        </w:rPr>
        <w:t>, permits</w:t>
      </w:r>
      <w:r w:rsidRPr="001844E7">
        <w:rPr>
          <w:rFonts w:eastAsia="Calibri" w:cs="Arial"/>
          <w:color w:val="auto"/>
          <w:lang w:eastAsia="en-US"/>
        </w:rPr>
        <w:t xml:space="preserve"> and the tariffs charged.  </w:t>
      </w:r>
    </w:p>
    <w:p w:rsidR="00263C37" w:rsidRPr="001844E7" w:rsidRDefault="00263C37" w:rsidP="00263C37">
      <w:pPr>
        <w:ind w:left="720"/>
        <w:rPr>
          <w:rFonts w:eastAsia="Calibri" w:cs="Arial"/>
          <w:color w:val="auto"/>
          <w:lang w:eastAsia="en-US"/>
        </w:rPr>
      </w:pPr>
    </w:p>
    <w:p w:rsidR="004B15F7" w:rsidRPr="00990EF1" w:rsidRDefault="008B4DC5" w:rsidP="00990EF1">
      <w:pPr>
        <w:pStyle w:val="ListParagraph"/>
        <w:numPr>
          <w:ilvl w:val="0"/>
          <w:numId w:val="34"/>
        </w:numPr>
        <w:tabs>
          <w:tab w:val="clear" w:pos="426"/>
        </w:tabs>
        <w:spacing w:after="0"/>
        <w:contextualSpacing/>
        <w:rPr>
          <w:rFonts w:eastAsia="Calibri" w:cs="Arial"/>
          <w:color w:val="auto"/>
          <w:lang w:eastAsia="en-US"/>
        </w:rPr>
      </w:pPr>
      <w:r w:rsidRPr="001844E7">
        <w:rPr>
          <w:rFonts w:eastAsia="Calibri" w:cs="Arial"/>
          <w:color w:val="auto"/>
          <w:lang w:eastAsia="en-US"/>
        </w:rPr>
        <w:t xml:space="preserve">It was quickly identified that the </w:t>
      </w:r>
      <w:r w:rsidR="0092626C" w:rsidRPr="001844E7">
        <w:rPr>
          <w:rFonts w:eastAsia="Calibri" w:cs="Arial"/>
          <w:color w:val="auto"/>
          <w:lang w:eastAsia="en-US"/>
        </w:rPr>
        <w:t xml:space="preserve">different level of charges adopted across the City and County sites created </w:t>
      </w:r>
      <w:r w:rsidR="00E910A3" w:rsidRPr="001844E7">
        <w:rPr>
          <w:rFonts w:eastAsia="Calibri" w:cs="Arial"/>
          <w:color w:val="auto"/>
          <w:lang w:eastAsia="en-US"/>
        </w:rPr>
        <w:t xml:space="preserve">a degree of </w:t>
      </w:r>
      <w:r w:rsidR="0092626C" w:rsidRPr="001844E7">
        <w:rPr>
          <w:rFonts w:eastAsia="Calibri" w:cs="Arial"/>
          <w:color w:val="auto"/>
          <w:lang w:eastAsia="en-US"/>
        </w:rPr>
        <w:t xml:space="preserve">confusion </w:t>
      </w:r>
      <w:r w:rsidR="00E910A3" w:rsidRPr="001844E7">
        <w:rPr>
          <w:rFonts w:eastAsia="Calibri" w:cs="Arial"/>
          <w:color w:val="auto"/>
          <w:lang w:eastAsia="en-US"/>
        </w:rPr>
        <w:t>for</w:t>
      </w:r>
      <w:r w:rsidR="0092626C" w:rsidRPr="001844E7">
        <w:rPr>
          <w:rFonts w:eastAsia="Calibri" w:cs="Arial"/>
          <w:color w:val="auto"/>
          <w:lang w:eastAsia="en-US"/>
        </w:rPr>
        <w:t xml:space="preserve"> customers and did not promote a cohesive scheme. </w:t>
      </w:r>
      <w:r w:rsidR="004B15F7" w:rsidRPr="00990EF1">
        <w:rPr>
          <w:rFonts w:eastAsia="Calibri" w:cs="Arial"/>
          <w:color w:val="auto"/>
          <w:lang w:eastAsia="en-US"/>
        </w:rPr>
        <w:t xml:space="preserve">It was therefore recommended that the City Council align their charges and conditions with Oxfordshire County Council. </w:t>
      </w:r>
    </w:p>
    <w:p w:rsidR="00CB7890" w:rsidRPr="00AA19F4" w:rsidRDefault="00CB7890" w:rsidP="00CB7890">
      <w:pPr>
        <w:pStyle w:val="ListParagraph"/>
        <w:numPr>
          <w:ilvl w:val="0"/>
          <w:numId w:val="0"/>
        </w:numPr>
        <w:tabs>
          <w:tab w:val="clear" w:pos="426"/>
        </w:tabs>
        <w:spacing w:after="0"/>
        <w:ind w:left="426"/>
        <w:contextualSpacing/>
        <w:rPr>
          <w:rFonts w:eastAsia="Calibri" w:cs="Arial"/>
          <w:color w:val="auto"/>
          <w:lang w:eastAsia="en-US"/>
        </w:rPr>
      </w:pPr>
    </w:p>
    <w:p w:rsidR="008B4DC5" w:rsidRPr="001844E7" w:rsidRDefault="004B15F7" w:rsidP="006D584B">
      <w:pPr>
        <w:pStyle w:val="ListParagraph"/>
        <w:numPr>
          <w:ilvl w:val="0"/>
          <w:numId w:val="34"/>
        </w:numPr>
        <w:tabs>
          <w:tab w:val="clear" w:pos="426"/>
        </w:tabs>
        <w:spacing w:after="0"/>
        <w:contextualSpacing/>
        <w:rPr>
          <w:rFonts w:eastAsia="Calibri" w:cs="Arial"/>
          <w:color w:val="auto"/>
          <w:lang w:eastAsia="en-US"/>
        </w:rPr>
      </w:pPr>
      <w:r w:rsidRPr="001844E7">
        <w:rPr>
          <w:rFonts w:eastAsia="Calibri" w:cs="Arial"/>
          <w:color w:val="auto"/>
          <w:lang w:eastAsia="en-US"/>
        </w:rPr>
        <w:t xml:space="preserve">The tariffs and conditions were then aligned on </w:t>
      </w:r>
      <w:r w:rsidR="001844E7" w:rsidRPr="001844E7">
        <w:rPr>
          <w:rFonts w:eastAsia="Calibri" w:cs="Arial"/>
          <w:color w:val="auto"/>
          <w:lang w:eastAsia="en-US"/>
        </w:rPr>
        <w:t xml:space="preserve">April </w:t>
      </w:r>
      <w:r w:rsidRPr="001844E7">
        <w:rPr>
          <w:rFonts w:eastAsia="Calibri" w:cs="Arial"/>
          <w:color w:val="auto"/>
          <w:lang w:eastAsia="en-US"/>
        </w:rPr>
        <w:t xml:space="preserve">2018. </w:t>
      </w:r>
      <w:r w:rsidR="00AA19F4">
        <w:rPr>
          <w:rFonts w:eastAsia="Calibri" w:cs="Arial"/>
          <w:color w:val="auto"/>
          <w:lang w:eastAsia="en-US"/>
        </w:rPr>
        <w:t xml:space="preserve"> </w:t>
      </w:r>
    </w:p>
    <w:p w:rsidR="008B4DC5" w:rsidRPr="001844E7" w:rsidRDefault="008B4DC5" w:rsidP="008B4DC5">
      <w:pPr>
        <w:pStyle w:val="ListParagraph"/>
        <w:numPr>
          <w:ilvl w:val="0"/>
          <w:numId w:val="0"/>
        </w:numPr>
        <w:tabs>
          <w:tab w:val="clear" w:pos="426"/>
        </w:tabs>
        <w:spacing w:after="0"/>
        <w:ind w:left="720"/>
        <w:contextualSpacing/>
        <w:rPr>
          <w:rFonts w:eastAsia="Calibri" w:cs="Arial"/>
          <w:color w:val="auto"/>
          <w:lang w:eastAsia="en-US"/>
        </w:rPr>
      </w:pPr>
    </w:p>
    <w:p w:rsidR="004B15F7" w:rsidRPr="001844E7" w:rsidRDefault="00E910A3" w:rsidP="006D584B">
      <w:pPr>
        <w:pStyle w:val="ListParagraph"/>
        <w:numPr>
          <w:ilvl w:val="0"/>
          <w:numId w:val="34"/>
        </w:numPr>
        <w:tabs>
          <w:tab w:val="clear" w:pos="426"/>
        </w:tabs>
        <w:spacing w:after="0"/>
        <w:contextualSpacing/>
        <w:rPr>
          <w:rFonts w:eastAsia="Calibri" w:cs="Arial"/>
          <w:color w:val="auto"/>
          <w:lang w:eastAsia="en-US"/>
        </w:rPr>
      </w:pPr>
      <w:r w:rsidRPr="001844E7">
        <w:rPr>
          <w:rFonts w:eastAsia="Calibri" w:cs="Arial"/>
          <w:color w:val="auto"/>
          <w:lang w:eastAsia="en-US"/>
        </w:rPr>
        <w:t>As part of this exercise, t</w:t>
      </w:r>
      <w:r w:rsidR="004B15F7" w:rsidRPr="001844E7">
        <w:rPr>
          <w:rFonts w:eastAsia="Calibri" w:cs="Arial"/>
          <w:color w:val="auto"/>
          <w:lang w:eastAsia="en-US"/>
        </w:rPr>
        <w:t>he P&amp;R operation of each authority was</w:t>
      </w:r>
      <w:r w:rsidR="00474ACE">
        <w:rPr>
          <w:rFonts w:eastAsia="Calibri" w:cs="Arial"/>
          <w:color w:val="auto"/>
          <w:lang w:eastAsia="en-US"/>
        </w:rPr>
        <w:t xml:space="preserve"> examined</w:t>
      </w:r>
      <w:r w:rsidR="004B15F7" w:rsidRPr="001844E7">
        <w:rPr>
          <w:rFonts w:eastAsia="Calibri" w:cs="Arial"/>
          <w:color w:val="auto"/>
          <w:lang w:eastAsia="en-US"/>
        </w:rPr>
        <w:t xml:space="preserve">. The officer group concluded that efficiencies and service improvements could be made if Oxfordshire </w:t>
      </w:r>
      <w:r w:rsidR="00F1416D" w:rsidRPr="001844E7">
        <w:rPr>
          <w:rFonts w:eastAsia="Calibri" w:cs="Arial"/>
          <w:color w:val="auto"/>
          <w:lang w:eastAsia="en-US"/>
        </w:rPr>
        <w:t xml:space="preserve">County Council adopted the City Council’s model of operation. </w:t>
      </w:r>
      <w:r w:rsidR="004B15F7" w:rsidRPr="001844E7">
        <w:rPr>
          <w:rFonts w:eastAsia="Calibri" w:cs="Arial"/>
          <w:color w:val="auto"/>
          <w:lang w:eastAsia="en-US"/>
        </w:rPr>
        <w:t xml:space="preserve"> </w:t>
      </w:r>
    </w:p>
    <w:p w:rsidR="00263C37" w:rsidRPr="001844E7" w:rsidRDefault="00263C37" w:rsidP="00263C37">
      <w:pPr>
        <w:pStyle w:val="ListParagraph"/>
        <w:numPr>
          <w:ilvl w:val="0"/>
          <w:numId w:val="0"/>
        </w:numPr>
        <w:ind w:left="426"/>
        <w:rPr>
          <w:rFonts w:eastAsia="Calibri" w:cs="Arial"/>
          <w:color w:val="auto"/>
          <w:lang w:eastAsia="en-US"/>
        </w:rPr>
      </w:pPr>
    </w:p>
    <w:p w:rsidR="00263C37" w:rsidRPr="001844E7" w:rsidRDefault="00263C37" w:rsidP="00263C37">
      <w:pPr>
        <w:pStyle w:val="ListParagraph"/>
        <w:numPr>
          <w:ilvl w:val="0"/>
          <w:numId w:val="0"/>
        </w:numPr>
        <w:tabs>
          <w:tab w:val="clear" w:pos="426"/>
        </w:tabs>
        <w:spacing w:after="0"/>
        <w:ind w:left="426" w:hanging="426"/>
        <w:contextualSpacing/>
        <w:rPr>
          <w:rFonts w:eastAsia="Calibri" w:cs="Arial"/>
          <w:b/>
          <w:color w:val="auto"/>
          <w:lang w:eastAsia="en-US"/>
        </w:rPr>
      </w:pPr>
      <w:r w:rsidRPr="001844E7">
        <w:rPr>
          <w:rFonts w:eastAsia="Calibri" w:cs="Arial"/>
          <w:b/>
          <w:color w:val="auto"/>
          <w:lang w:eastAsia="en-US"/>
        </w:rPr>
        <w:t xml:space="preserve">Current operation </w:t>
      </w:r>
    </w:p>
    <w:p w:rsidR="00263C37" w:rsidRPr="001844E7" w:rsidRDefault="00263C37" w:rsidP="00263C37">
      <w:pPr>
        <w:pStyle w:val="ListParagraph"/>
        <w:numPr>
          <w:ilvl w:val="0"/>
          <w:numId w:val="0"/>
        </w:numPr>
        <w:tabs>
          <w:tab w:val="clear" w:pos="426"/>
        </w:tabs>
        <w:spacing w:after="0"/>
        <w:ind w:left="426" w:hanging="426"/>
        <w:contextualSpacing/>
        <w:rPr>
          <w:rFonts w:eastAsia="Calibri" w:cs="Arial"/>
          <w:color w:val="auto"/>
          <w:lang w:eastAsia="en-US"/>
        </w:rPr>
      </w:pPr>
    </w:p>
    <w:p w:rsidR="00401575" w:rsidRPr="001844E7" w:rsidRDefault="00401575" w:rsidP="00401575">
      <w:pPr>
        <w:pStyle w:val="ListParagraph"/>
        <w:numPr>
          <w:ilvl w:val="0"/>
          <w:numId w:val="34"/>
        </w:numPr>
        <w:rPr>
          <w:rFonts w:eastAsia="Calibri" w:cs="Arial"/>
          <w:color w:val="auto"/>
          <w:lang w:eastAsia="en-US"/>
        </w:rPr>
      </w:pPr>
      <w:r w:rsidRPr="001844E7">
        <w:rPr>
          <w:rFonts w:eastAsia="Calibri" w:cs="Arial"/>
          <w:color w:val="auto"/>
          <w:lang w:eastAsia="en-US"/>
        </w:rPr>
        <w:t>The Park and Ride sites are an important part of both Councils</w:t>
      </w:r>
      <w:r w:rsidR="00B75288">
        <w:rPr>
          <w:rFonts w:eastAsia="Calibri" w:cs="Arial"/>
          <w:color w:val="auto"/>
          <w:lang w:eastAsia="en-US"/>
        </w:rPr>
        <w:t>’</w:t>
      </w:r>
      <w:r w:rsidRPr="001844E7">
        <w:rPr>
          <w:rFonts w:eastAsia="Calibri" w:cs="Arial"/>
          <w:color w:val="auto"/>
          <w:lang w:eastAsia="en-US"/>
        </w:rPr>
        <w:t xml:space="preserve"> sustainable transport strategy, reducing the need to drive into the city centre and allowing city centre car parking to be utilised mainly for shorter, non-commuting trips.  </w:t>
      </w:r>
    </w:p>
    <w:p w:rsidR="00401575" w:rsidRPr="001844E7" w:rsidRDefault="00401575" w:rsidP="00401575">
      <w:pPr>
        <w:ind w:left="720"/>
        <w:rPr>
          <w:rFonts w:eastAsia="Calibri" w:cs="Arial"/>
          <w:color w:val="auto"/>
          <w:lang w:eastAsia="en-US"/>
        </w:rPr>
      </w:pPr>
    </w:p>
    <w:p w:rsidR="00263C37" w:rsidRPr="001844E7" w:rsidRDefault="00263C37" w:rsidP="00263C37">
      <w:pPr>
        <w:numPr>
          <w:ilvl w:val="0"/>
          <w:numId w:val="34"/>
        </w:numPr>
        <w:rPr>
          <w:rFonts w:eastAsia="Calibri" w:cs="Arial"/>
          <w:color w:val="auto"/>
          <w:lang w:eastAsia="en-US"/>
        </w:rPr>
      </w:pPr>
      <w:r w:rsidRPr="001844E7">
        <w:rPr>
          <w:rFonts w:eastAsia="Calibri" w:cs="Arial"/>
          <w:color w:val="auto"/>
          <w:lang w:eastAsia="en-US"/>
        </w:rPr>
        <w:t>Oxfordshire County Council operates two Park &amp; Ride sites, Thornhill and Water Eaton. The combined capacity of these two sites is 2093 parking bays.</w:t>
      </w:r>
    </w:p>
    <w:p w:rsidR="005B4038" w:rsidRPr="001844E7" w:rsidRDefault="005B4038" w:rsidP="005B4038">
      <w:pPr>
        <w:ind w:left="720"/>
        <w:rPr>
          <w:rFonts w:eastAsia="Calibri" w:cs="Arial"/>
          <w:color w:val="auto"/>
          <w:lang w:eastAsia="en-US"/>
        </w:rPr>
      </w:pPr>
    </w:p>
    <w:p w:rsidR="00263C37" w:rsidRPr="001844E7" w:rsidRDefault="00263C37" w:rsidP="00263C37">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Oxford City Council operates three Park &amp; Ride car parks, Redbridge, Seacourt and Peartree, providing 3241 car parking bays. However, the City Council also currently provides a parking facility for coach</w:t>
      </w:r>
      <w:r w:rsidR="009D0AFC">
        <w:rPr>
          <w:rFonts w:eastAsia="Calibri" w:cs="Arial"/>
          <w:color w:val="auto"/>
          <w:lang w:eastAsia="en-US"/>
        </w:rPr>
        <w:t>es</w:t>
      </w:r>
      <w:r w:rsidRPr="001844E7">
        <w:rPr>
          <w:rFonts w:eastAsia="Calibri" w:cs="Arial"/>
          <w:color w:val="auto"/>
          <w:lang w:eastAsia="en-US"/>
        </w:rPr>
        <w:t xml:space="preserve"> and lorries</w:t>
      </w:r>
      <w:r w:rsidR="009D0AFC">
        <w:rPr>
          <w:rFonts w:eastAsia="Calibri" w:cs="Arial"/>
          <w:color w:val="auto"/>
          <w:lang w:eastAsia="en-US"/>
        </w:rPr>
        <w:t xml:space="preserve"> at Redbridge Park &amp; </w:t>
      </w:r>
      <w:r w:rsidR="001C3D47">
        <w:rPr>
          <w:rFonts w:eastAsia="Calibri" w:cs="Arial"/>
          <w:color w:val="auto"/>
          <w:lang w:eastAsia="en-US"/>
        </w:rPr>
        <w:t>Ride,</w:t>
      </w:r>
      <w:r w:rsidRPr="001844E7">
        <w:rPr>
          <w:rFonts w:eastAsia="Calibri" w:cs="Arial"/>
          <w:color w:val="auto"/>
          <w:lang w:eastAsia="en-US"/>
        </w:rPr>
        <w:t xml:space="preserve"> which has reduced capacity </w:t>
      </w:r>
      <w:r w:rsidR="009D0AFC">
        <w:rPr>
          <w:rFonts w:eastAsia="Calibri" w:cs="Arial"/>
          <w:color w:val="auto"/>
          <w:lang w:eastAsia="en-US"/>
        </w:rPr>
        <w:t>there</w:t>
      </w:r>
      <w:r w:rsidRPr="001844E7">
        <w:rPr>
          <w:rFonts w:eastAsia="Calibri" w:cs="Arial"/>
          <w:color w:val="auto"/>
          <w:lang w:eastAsia="en-US"/>
        </w:rPr>
        <w:t xml:space="preserve"> </w:t>
      </w:r>
      <w:r w:rsidR="001C3D47" w:rsidRPr="001844E7">
        <w:rPr>
          <w:rFonts w:eastAsia="Calibri" w:cs="Arial"/>
          <w:color w:val="auto"/>
          <w:lang w:eastAsia="en-US"/>
        </w:rPr>
        <w:t xml:space="preserve">by </w:t>
      </w:r>
      <w:r w:rsidR="001C3D47">
        <w:rPr>
          <w:rFonts w:eastAsia="Calibri" w:cs="Arial"/>
          <w:color w:val="auto"/>
          <w:lang w:eastAsia="en-US"/>
        </w:rPr>
        <w:t>approximately</w:t>
      </w:r>
      <w:r w:rsidR="00D0587B">
        <w:rPr>
          <w:rFonts w:eastAsia="Calibri" w:cs="Arial"/>
          <w:color w:val="auto"/>
          <w:lang w:eastAsia="en-US"/>
        </w:rPr>
        <w:t xml:space="preserve"> </w:t>
      </w:r>
      <w:r w:rsidRPr="001844E7">
        <w:rPr>
          <w:rFonts w:eastAsia="Calibri" w:cs="Arial"/>
          <w:color w:val="auto"/>
          <w:lang w:eastAsia="en-US"/>
        </w:rPr>
        <w:t xml:space="preserve">260 spaces. </w:t>
      </w:r>
    </w:p>
    <w:p w:rsidR="00263C37" w:rsidRPr="001844E7" w:rsidRDefault="00263C37" w:rsidP="00263C37">
      <w:pPr>
        <w:pStyle w:val="ListParagraph"/>
        <w:numPr>
          <w:ilvl w:val="0"/>
          <w:numId w:val="0"/>
        </w:numPr>
        <w:spacing w:after="0"/>
        <w:ind w:left="720"/>
        <w:contextualSpacing/>
        <w:rPr>
          <w:rFonts w:eastAsia="Calibri" w:cs="Arial"/>
          <w:color w:val="auto"/>
          <w:lang w:eastAsia="en-US"/>
        </w:rPr>
      </w:pPr>
    </w:p>
    <w:p w:rsidR="00263C37" w:rsidRPr="001844E7" w:rsidRDefault="00263C37" w:rsidP="00263C37">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Oxfordshire County Council currently has </w:t>
      </w:r>
      <w:r w:rsidR="00990EF1">
        <w:rPr>
          <w:rFonts w:eastAsia="Calibri" w:cs="Arial"/>
          <w:color w:val="auto"/>
          <w:lang w:eastAsia="en-US"/>
        </w:rPr>
        <w:t>7</w:t>
      </w:r>
      <w:r w:rsidRPr="001844E7">
        <w:rPr>
          <w:rFonts w:eastAsia="Calibri" w:cs="Arial"/>
          <w:color w:val="auto"/>
          <w:lang w:eastAsia="en-US"/>
        </w:rPr>
        <w:t xml:space="preserve"> staff located across </w:t>
      </w:r>
      <w:r w:rsidR="009D0AFC">
        <w:rPr>
          <w:rFonts w:eastAsia="Calibri" w:cs="Arial"/>
          <w:color w:val="auto"/>
          <w:lang w:eastAsia="en-US"/>
        </w:rPr>
        <w:t>its</w:t>
      </w:r>
      <w:r w:rsidRPr="001844E7">
        <w:rPr>
          <w:rFonts w:eastAsia="Calibri" w:cs="Arial"/>
          <w:color w:val="auto"/>
          <w:lang w:eastAsia="en-US"/>
        </w:rPr>
        <w:t xml:space="preserve"> two Park &amp; Ride sites. Working between 07:00-19:30 Monday to Saturday at Oxford Parkway</w:t>
      </w:r>
      <w:r w:rsidR="009D0AFC">
        <w:rPr>
          <w:rFonts w:eastAsia="Calibri" w:cs="Arial"/>
          <w:color w:val="auto"/>
          <w:lang w:eastAsia="en-US"/>
        </w:rPr>
        <w:t xml:space="preserve"> (Water Eaton)</w:t>
      </w:r>
      <w:r w:rsidRPr="001844E7">
        <w:rPr>
          <w:rFonts w:eastAsia="Calibri" w:cs="Arial"/>
          <w:color w:val="auto"/>
          <w:lang w:eastAsia="en-US"/>
        </w:rPr>
        <w:t xml:space="preserve">, and between 05:30 –23:30 Monday to Saturday and 08:30-19:30 on Sundays at Thornhill. </w:t>
      </w:r>
    </w:p>
    <w:p w:rsidR="00263C37" w:rsidRPr="001844E7" w:rsidRDefault="00263C37" w:rsidP="00263C37">
      <w:pPr>
        <w:pStyle w:val="ListParagraph"/>
        <w:numPr>
          <w:ilvl w:val="0"/>
          <w:numId w:val="0"/>
        </w:numPr>
        <w:spacing w:after="0"/>
        <w:ind w:left="720"/>
        <w:contextualSpacing/>
        <w:rPr>
          <w:rFonts w:eastAsia="Calibri" w:cs="Arial"/>
          <w:color w:val="auto"/>
          <w:lang w:eastAsia="en-US"/>
        </w:rPr>
      </w:pPr>
    </w:p>
    <w:p w:rsidR="009D0AFC" w:rsidRPr="009D0AFC" w:rsidRDefault="00263C37" w:rsidP="009D0AFC">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The officers are responsible for maintaining security, parking enforcement, and customer care, in addition to managing the buildings facilities. Staff enforcement is aided by static </w:t>
      </w:r>
      <w:r w:rsidR="009D0AFC" w:rsidRPr="00CB7890">
        <w:rPr>
          <w:rFonts w:eastAsia="Calibri" w:cs="Arial"/>
          <w:iCs/>
          <w:color w:val="auto"/>
          <w:lang w:eastAsia="en-US"/>
        </w:rPr>
        <w:t>Automatic Number Plate Recognition</w:t>
      </w:r>
      <w:r w:rsidR="009D0AFC">
        <w:rPr>
          <w:rFonts w:eastAsia="Calibri" w:cs="Arial"/>
          <w:iCs/>
          <w:color w:val="auto"/>
          <w:lang w:eastAsia="en-US"/>
        </w:rPr>
        <w:t xml:space="preserve"> (</w:t>
      </w:r>
      <w:r w:rsidR="009D0AFC" w:rsidRPr="009D0AFC">
        <w:rPr>
          <w:rFonts w:eastAsia="Calibri" w:cs="Arial"/>
          <w:color w:val="auto"/>
          <w:lang w:eastAsia="en-US"/>
        </w:rPr>
        <w:t>ANPR</w:t>
      </w:r>
      <w:r w:rsidR="009D0AFC">
        <w:rPr>
          <w:rFonts w:eastAsia="Calibri" w:cs="Arial"/>
          <w:color w:val="auto"/>
          <w:lang w:eastAsia="en-US"/>
        </w:rPr>
        <w:t>)</w:t>
      </w:r>
      <w:r w:rsidR="009D0AFC" w:rsidRPr="009D0AFC">
        <w:rPr>
          <w:rFonts w:eastAsia="Calibri" w:cs="Arial"/>
          <w:color w:val="auto"/>
          <w:lang w:eastAsia="en-US"/>
        </w:rPr>
        <w:t xml:space="preserve"> cameras</w:t>
      </w:r>
    </w:p>
    <w:p w:rsidR="00263C37" w:rsidRPr="006E426A" w:rsidRDefault="00263C37" w:rsidP="006E426A">
      <w:pPr>
        <w:spacing w:after="0"/>
        <w:ind w:left="360"/>
        <w:contextualSpacing/>
        <w:rPr>
          <w:rFonts w:eastAsia="Calibri" w:cs="Arial"/>
          <w:color w:val="auto"/>
          <w:lang w:eastAsia="en-US"/>
        </w:rPr>
      </w:pPr>
    </w:p>
    <w:p w:rsidR="00263C37" w:rsidRPr="001844E7" w:rsidRDefault="00263C37" w:rsidP="00263C37">
      <w:pPr>
        <w:pStyle w:val="ListParagraph"/>
        <w:numPr>
          <w:ilvl w:val="0"/>
          <w:numId w:val="0"/>
        </w:numPr>
        <w:spacing w:after="0"/>
        <w:ind w:left="720"/>
        <w:contextualSpacing/>
        <w:rPr>
          <w:rFonts w:eastAsia="Calibri" w:cs="Arial"/>
          <w:color w:val="auto"/>
          <w:lang w:eastAsia="en-US"/>
        </w:rPr>
      </w:pPr>
    </w:p>
    <w:p w:rsidR="00263C37" w:rsidRDefault="00263C37" w:rsidP="00263C37">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lastRenderedPageBreak/>
        <w:t xml:space="preserve">Oxford City Council removed staff from </w:t>
      </w:r>
      <w:r w:rsidR="00D0587B">
        <w:rPr>
          <w:rFonts w:eastAsia="Calibri" w:cs="Arial"/>
          <w:color w:val="auto"/>
          <w:lang w:eastAsia="en-US"/>
        </w:rPr>
        <w:t>its</w:t>
      </w:r>
      <w:r w:rsidRPr="001844E7">
        <w:rPr>
          <w:rFonts w:eastAsia="Calibri" w:cs="Arial"/>
          <w:color w:val="auto"/>
          <w:lang w:eastAsia="en-US"/>
        </w:rPr>
        <w:t xml:space="preserve"> Park &amp; Ride sites in 2011 and has not encountered any operational difficulties as a result of this.</w:t>
      </w:r>
    </w:p>
    <w:p w:rsidR="006E426A" w:rsidRDefault="006E426A" w:rsidP="006E426A">
      <w:pPr>
        <w:pStyle w:val="ListParagraph"/>
        <w:numPr>
          <w:ilvl w:val="0"/>
          <w:numId w:val="0"/>
        </w:numPr>
        <w:spacing w:after="0"/>
        <w:ind w:left="720"/>
        <w:contextualSpacing/>
        <w:rPr>
          <w:rFonts w:eastAsia="Calibri" w:cs="Arial"/>
          <w:color w:val="auto"/>
          <w:lang w:eastAsia="en-US"/>
        </w:rPr>
      </w:pPr>
    </w:p>
    <w:p w:rsidR="00263C37" w:rsidRPr="00EA78DF" w:rsidRDefault="00263C37" w:rsidP="006E426A">
      <w:pPr>
        <w:pStyle w:val="ListParagraph"/>
        <w:numPr>
          <w:ilvl w:val="0"/>
          <w:numId w:val="34"/>
        </w:numPr>
        <w:spacing w:after="0"/>
        <w:contextualSpacing/>
        <w:rPr>
          <w:rFonts w:eastAsia="Calibri" w:cs="Arial"/>
          <w:color w:val="auto"/>
          <w:lang w:eastAsia="en-US"/>
        </w:rPr>
      </w:pPr>
      <w:r w:rsidRPr="00EA78DF">
        <w:rPr>
          <w:rFonts w:eastAsia="Calibri" w:cs="Arial"/>
          <w:color w:val="auto"/>
          <w:lang w:eastAsia="en-US"/>
        </w:rPr>
        <w:t xml:space="preserve">Oxford City Council undertakes parking enforcement with a mobile ANPR vehicle. Oxfordshire County Council utilises a static system, although </w:t>
      </w:r>
      <w:r w:rsidR="00EA78DF" w:rsidRPr="00474ACE">
        <w:rPr>
          <w:rFonts w:eastAsia="Calibri" w:cs="Arial"/>
          <w:color w:val="auto"/>
          <w:lang w:eastAsia="en-US"/>
        </w:rPr>
        <w:t>as the Deregulation Act currently prevents local authorities</w:t>
      </w:r>
      <w:r w:rsidR="00EA78DF" w:rsidRPr="00EA78DF">
        <w:rPr>
          <w:rFonts w:eastAsia="Calibri" w:cs="Arial"/>
          <w:color w:val="auto"/>
          <w:lang w:eastAsia="en-US"/>
        </w:rPr>
        <w:t xml:space="preserve"> from servicing penalty notices by post </w:t>
      </w:r>
      <w:r w:rsidRPr="00EA78DF">
        <w:rPr>
          <w:rFonts w:eastAsia="Calibri" w:cs="Arial"/>
          <w:color w:val="auto"/>
          <w:lang w:eastAsia="en-US"/>
        </w:rPr>
        <w:t>this device is not able to be used to its full potential</w:t>
      </w:r>
      <w:r w:rsidR="00EA78DF">
        <w:rPr>
          <w:rFonts w:eastAsia="Calibri" w:cs="Arial"/>
          <w:color w:val="auto"/>
          <w:lang w:eastAsia="en-US"/>
        </w:rPr>
        <w:t>.</w:t>
      </w:r>
      <w:r w:rsidRPr="00EA78DF">
        <w:rPr>
          <w:rFonts w:eastAsia="Calibri" w:cs="Arial"/>
          <w:color w:val="auto"/>
          <w:lang w:eastAsia="en-US"/>
        </w:rPr>
        <w:t xml:space="preserve"> </w:t>
      </w:r>
    </w:p>
    <w:p w:rsidR="00263C37" w:rsidRPr="001844E7" w:rsidRDefault="00263C37" w:rsidP="00263C37">
      <w:pPr>
        <w:pStyle w:val="ListParagraph"/>
        <w:numPr>
          <w:ilvl w:val="0"/>
          <w:numId w:val="0"/>
        </w:numPr>
        <w:spacing w:after="0"/>
        <w:ind w:left="426" w:hanging="426"/>
        <w:contextualSpacing/>
        <w:rPr>
          <w:rFonts w:eastAsia="Calibri" w:cs="Arial"/>
          <w:b/>
          <w:color w:val="auto"/>
          <w:lang w:eastAsia="en-US"/>
        </w:rPr>
      </w:pPr>
      <w:r w:rsidRPr="001844E7">
        <w:rPr>
          <w:rFonts w:eastAsia="Calibri" w:cs="Arial"/>
          <w:b/>
          <w:color w:val="auto"/>
          <w:lang w:eastAsia="en-US"/>
        </w:rPr>
        <w:t xml:space="preserve">Proposal </w:t>
      </w:r>
    </w:p>
    <w:p w:rsidR="00263C37" w:rsidRPr="001844E7" w:rsidRDefault="00263C37" w:rsidP="00263C37">
      <w:pPr>
        <w:pStyle w:val="ListParagraph"/>
        <w:numPr>
          <w:ilvl w:val="0"/>
          <w:numId w:val="0"/>
        </w:numPr>
        <w:ind w:left="426"/>
        <w:rPr>
          <w:rFonts w:eastAsia="Calibri" w:cs="Arial"/>
          <w:color w:val="auto"/>
          <w:lang w:eastAsia="en-US"/>
        </w:rPr>
      </w:pPr>
    </w:p>
    <w:p w:rsidR="005B4038" w:rsidRPr="001844E7" w:rsidRDefault="005B4038" w:rsidP="005B4038">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The most efficient option would be to utilise technology where possible</w:t>
      </w:r>
      <w:r w:rsidR="00BA052E" w:rsidRPr="001844E7">
        <w:rPr>
          <w:rFonts w:eastAsia="Calibri" w:cs="Arial"/>
          <w:color w:val="auto"/>
          <w:lang w:eastAsia="en-US"/>
        </w:rPr>
        <w:t>. However</w:t>
      </w:r>
      <w:r w:rsidR="00222C63" w:rsidRPr="001844E7">
        <w:rPr>
          <w:rFonts w:eastAsia="Calibri" w:cs="Arial"/>
          <w:color w:val="auto"/>
          <w:lang w:eastAsia="en-US"/>
        </w:rPr>
        <w:t>, it</w:t>
      </w:r>
      <w:r w:rsidRPr="001844E7">
        <w:rPr>
          <w:rFonts w:eastAsia="Calibri" w:cs="Arial"/>
          <w:color w:val="auto"/>
          <w:lang w:eastAsia="en-US"/>
        </w:rPr>
        <w:t xml:space="preserve"> is recognised that current legislation restricts the use of certain equipme</w:t>
      </w:r>
      <w:r w:rsidR="00E412B6" w:rsidRPr="001844E7">
        <w:rPr>
          <w:rFonts w:eastAsia="Calibri" w:cs="Arial"/>
          <w:color w:val="auto"/>
          <w:lang w:eastAsia="en-US"/>
        </w:rPr>
        <w:t>nt, as mentioned in paragraph 1</w:t>
      </w:r>
      <w:r w:rsidR="006E426A">
        <w:rPr>
          <w:rFonts w:eastAsia="Calibri" w:cs="Arial"/>
          <w:color w:val="auto"/>
          <w:lang w:eastAsia="en-US"/>
        </w:rPr>
        <w:t>2</w:t>
      </w:r>
      <w:r w:rsidRPr="001844E7">
        <w:rPr>
          <w:rFonts w:eastAsia="Calibri" w:cs="Arial"/>
          <w:color w:val="auto"/>
          <w:lang w:eastAsia="en-US"/>
        </w:rPr>
        <w:t xml:space="preserve">. </w:t>
      </w:r>
    </w:p>
    <w:p w:rsidR="005B4038" w:rsidRPr="001844E7" w:rsidRDefault="005B4038" w:rsidP="005B4038">
      <w:pPr>
        <w:pStyle w:val="ListParagraph"/>
        <w:numPr>
          <w:ilvl w:val="0"/>
          <w:numId w:val="0"/>
        </w:numPr>
        <w:spacing w:after="0"/>
        <w:ind w:left="426" w:hanging="426"/>
        <w:contextualSpacing/>
        <w:rPr>
          <w:rFonts w:eastAsia="Calibri" w:cs="Arial"/>
          <w:color w:val="auto"/>
          <w:lang w:eastAsia="en-US"/>
        </w:rPr>
      </w:pPr>
    </w:p>
    <w:p w:rsidR="005B4038" w:rsidRPr="001844E7" w:rsidRDefault="005B4038" w:rsidP="005B4038">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As Local Authorities are currently not permitted to send penalty notices retrospectively through the post for parking offences, a mobile ANPR system is recognised as a suitable alternative.  </w:t>
      </w:r>
    </w:p>
    <w:p w:rsidR="005B4038" w:rsidRPr="001844E7" w:rsidRDefault="005B4038" w:rsidP="005B4038">
      <w:pPr>
        <w:pStyle w:val="ListParagraph"/>
        <w:numPr>
          <w:ilvl w:val="0"/>
          <w:numId w:val="0"/>
        </w:numPr>
        <w:spacing w:after="0"/>
        <w:ind w:left="720"/>
        <w:contextualSpacing/>
        <w:rPr>
          <w:rFonts w:eastAsia="Calibri" w:cs="Arial"/>
          <w:color w:val="auto"/>
          <w:lang w:eastAsia="en-US"/>
        </w:rPr>
      </w:pPr>
    </w:p>
    <w:p w:rsidR="005B4038" w:rsidRPr="001844E7" w:rsidRDefault="005B4038" w:rsidP="005B4038">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These </w:t>
      </w:r>
      <w:r w:rsidR="009D0AFC">
        <w:rPr>
          <w:rFonts w:eastAsia="Calibri" w:cs="Arial"/>
          <w:color w:val="auto"/>
          <w:lang w:eastAsia="en-US"/>
        </w:rPr>
        <w:t xml:space="preserve">ANPR </w:t>
      </w:r>
      <w:r w:rsidRPr="001844E7">
        <w:rPr>
          <w:rFonts w:eastAsia="Calibri" w:cs="Arial"/>
          <w:color w:val="auto"/>
          <w:lang w:eastAsia="en-US"/>
        </w:rPr>
        <w:t xml:space="preserve">devices are used for detection purposes only and will alert the Enforcement Officer to any </w:t>
      </w:r>
      <w:r w:rsidR="00EA78DF">
        <w:rPr>
          <w:rFonts w:eastAsia="Calibri" w:cs="Arial"/>
          <w:color w:val="auto"/>
          <w:lang w:eastAsia="en-US"/>
        </w:rPr>
        <w:t xml:space="preserve">parking </w:t>
      </w:r>
      <w:r w:rsidRPr="001844E7">
        <w:rPr>
          <w:rFonts w:eastAsia="Calibri" w:cs="Arial"/>
          <w:color w:val="auto"/>
          <w:lang w:eastAsia="en-US"/>
        </w:rPr>
        <w:t xml:space="preserve">contravention. The officer is then required to check the vehicle and if payment cannot be established or a contravention has occurred, a penalty notice is issued. </w:t>
      </w:r>
    </w:p>
    <w:p w:rsidR="005B4038" w:rsidRPr="001844E7" w:rsidRDefault="005B4038" w:rsidP="005B4038">
      <w:pPr>
        <w:pStyle w:val="ListParagraph"/>
        <w:numPr>
          <w:ilvl w:val="0"/>
          <w:numId w:val="0"/>
        </w:numPr>
        <w:spacing w:after="0"/>
        <w:ind w:left="720"/>
        <w:contextualSpacing/>
        <w:rPr>
          <w:rFonts w:eastAsia="Calibri" w:cs="Arial"/>
          <w:color w:val="auto"/>
          <w:lang w:eastAsia="en-US"/>
        </w:rPr>
      </w:pPr>
    </w:p>
    <w:p w:rsidR="005B4038" w:rsidRPr="001844E7" w:rsidRDefault="005B4038" w:rsidP="005B4038">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Oxford City Council has operated this model since 2013. This has proven to be an effective tool for parking enforcement. This device has significantly improved efficiency as officers are able to patrol more car parks within their shift. </w:t>
      </w:r>
    </w:p>
    <w:p w:rsidR="005B4038" w:rsidRPr="001844E7" w:rsidRDefault="005B4038" w:rsidP="005B4038">
      <w:pPr>
        <w:pStyle w:val="ListParagraph"/>
        <w:numPr>
          <w:ilvl w:val="0"/>
          <w:numId w:val="0"/>
        </w:numPr>
        <w:ind w:left="426"/>
        <w:rPr>
          <w:rFonts w:eastAsia="Calibri" w:cs="Arial"/>
          <w:color w:val="auto"/>
          <w:lang w:eastAsia="en-US"/>
        </w:rPr>
      </w:pPr>
    </w:p>
    <w:p w:rsidR="005B4038" w:rsidRPr="001844E7" w:rsidRDefault="005B4038" w:rsidP="005B4038">
      <w:pPr>
        <w:numPr>
          <w:ilvl w:val="0"/>
          <w:numId w:val="34"/>
        </w:numPr>
        <w:rPr>
          <w:rFonts w:eastAsia="Calibri" w:cs="Arial"/>
          <w:color w:val="auto"/>
          <w:lang w:eastAsia="en-US"/>
        </w:rPr>
      </w:pPr>
      <w:r w:rsidRPr="001844E7">
        <w:rPr>
          <w:rFonts w:eastAsia="Calibri" w:cs="Arial"/>
          <w:color w:val="auto"/>
          <w:lang w:eastAsia="en-US"/>
        </w:rPr>
        <w:t>Oxfordshire County Council would like to replicate this model, although it</w:t>
      </w:r>
      <w:r w:rsidRPr="001844E7">
        <w:t xml:space="preserve"> </w:t>
      </w:r>
      <w:r w:rsidRPr="001844E7">
        <w:rPr>
          <w:rFonts w:eastAsia="Calibri" w:cs="Arial"/>
          <w:color w:val="auto"/>
          <w:lang w:eastAsia="en-US"/>
        </w:rPr>
        <w:t>would not be cost effective for the</w:t>
      </w:r>
      <w:r w:rsidR="00D0587B">
        <w:rPr>
          <w:rFonts w:eastAsia="Calibri" w:cs="Arial"/>
          <w:color w:val="auto"/>
          <w:lang w:eastAsia="en-US"/>
        </w:rPr>
        <w:t xml:space="preserve"> County Council</w:t>
      </w:r>
      <w:r w:rsidRPr="001844E7">
        <w:rPr>
          <w:rFonts w:eastAsia="Calibri" w:cs="Arial"/>
          <w:color w:val="auto"/>
          <w:lang w:eastAsia="en-US"/>
        </w:rPr>
        <w:t xml:space="preserve"> to procure a separate system for </w:t>
      </w:r>
      <w:r w:rsidR="00D0587B">
        <w:rPr>
          <w:rFonts w:eastAsia="Calibri" w:cs="Arial"/>
          <w:color w:val="auto"/>
          <w:lang w:eastAsia="en-US"/>
        </w:rPr>
        <w:t>i</w:t>
      </w:r>
      <w:r w:rsidRPr="001844E7">
        <w:rPr>
          <w:rFonts w:eastAsia="Calibri" w:cs="Arial"/>
          <w:color w:val="auto"/>
          <w:lang w:eastAsia="en-US"/>
        </w:rPr>
        <w:t>t</w:t>
      </w:r>
      <w:r w:rsidR="00D0587B">
        <w:rPr>
          <w:rFonts w:eastAsia="Calibri" w:cs="Arial"/>
          <w:color w:val="auto"/>
          <w:lang w:eastAsia="en-US"/>
        </w:rPr>
        <w:t>s</w:t>
      </w:r>
      <w:r w:rsidRPr="001844E7">
        <w:rPr>
          <w:rFonts w:eastAsia="Calibri" w:cs="Arial"/>
          <w:color w:val="auto"/>
          <w:lang w:eastAsia="en-US"/>
        </w:rPr>
        <w:t xml:space="preserve"> P&amp;R operation. </w:t>
      </w:r>
    </w:p>
    <w:p w:rsidR="005B4038" w:rsidRPr="001844E7" w:rsidRDefault="005B4038" w:rsidP="005B4038">
      <w:pPr>
        <w:pStyle w:val="ListParagraph"/>
        <w:numPr>
          <w:ilvl w:val="0"/>
          <w:numId w:val="0"/>
        </w:numPr>
        <w:ind w:left="426"/>
        <w:rPr>
          <w:rFonts w:eastAsia="Calibri" w:cs="Arial"/>
          <w:color w:val="auto"/>
          <w:lang w:eastAsia="en-US"/>
        </w:rPr>
      </w:pPr>
    </w:p>
    <w:p w:rsidR="005B4038" w:rsidRDefault="00FC4011" w:rsidP="005B4038">
      <w:pPr>
        <w:numPr>
          <w:ilvl w:val="0"/>
          <w:numId w:val="34"/>
        </w:numPr>
        <w:rPr>
          <w:rFonts w:eastAsia="Calibri" w:cs="Arial"/>
          <w:color w:val="auto"/>
          <w:lang w:eastAsia="en-US"/>
        </w:rPr>
      </w:pPr>
      <w:r w:rsidRPr="001844E7">
        <w:rPr>
          <w:rFonts w:eastAsia="Calibri" w:cs="Arial"/>
          <w:color w:val="auto"/>
          <w:lang w:eastAsia="en-US"/>
        </w:rPr>
        <w:t>It is therefore recommended that the County</w:t>
      </w:r>
      <w:r w:rsidR="00D0587B">
        <w:rPr>
          <w:rFonts w:eastAsia="Calibri" w:cs="Arial"/>
          <w:color w:val="auto"/>
          <w:lang w:eastAsia="en-US"/>
        </w:rPr>
        <w:t xml:space="preserve"> Council</w:t>
      </w:r>
      <w:r w:rsidRPr="001844E7">
        <w:rPr>
          <w:rFonts w:eastAsia="Calibri" w:cs="Arial"/>
          <w:color w:val="auto"/>
          <w:lang w:eastAsia="en-US"/>
        </w:rPr>
        <w:t xml:space="preserve">’s out-sourced P&amp;R contract is </w:t>
      </w:r>
      <w:r w:rsidR="00493A16" w:rsidRPr="001844E7">
        <w:rPr>
          <w:rFonts w:eastAsia="Calibri" w:cs="Arial"/>
          <w:color w:val="auto"/>
          <w:lang w:eastAsia="en-US"/>
        </w:rPr>
        <w:t xml:space="preserve">transferred to </w:t>
      </w:r>
      <w:r w:rsidRPr="001844E7">
        <w:rPr>
          <w:rFonts w:eastAsia="Calibri" w:cs="Arial"/>
          <w:color w:val="auto"/>
          <w:lang w:eastAsia="en-US"/>
        </w:rPr>
        <w:t xml:space="preserve">the City Council </w:t>
      </w:r>
      <w:r w:rsidR="00B75288">
        <w:rPr>
          <w:rFonts w:eastAsia="Calibri" w:cs="Arial"/>
          <w:color w:val="auto"/>
          <w:lang w:eastAsia="en-US"/>
        </w:rPr>
        <w:t xml:space="preserve">on an agency basis, </w:t>
      </w:r>
      <w:r w:rsidRPr="001844E7">
        <w:rPr>
          <w:rFonts w:eastAsia="Calibri" w:cs="Arial"/>
          <w:color w:val="auto"/>
          <w:lang w:eastAsia="en-US"/>
        </w:rPr>
        <w:t xml:space="preserve">and </w:t>
      </w:r>
      <w:r w:rsidR="00B75288">
        <w:rPr>
          <w:rFonts w:eastAsia="Calibri" w:cs="Arial"/>
          <w:color w:val="auto"/>
          <w:lang w:eastAsia="en-US"/>
        </w:rPr>
        <w:t xml:space="preserve">then </w:t>
      </w:r>
      <w:r w:rsidR="006A5A4B">
        <w:rPr>
          <w:rFonts w:eastAsia="Calibri" w:cs="Arial"/>
          <w:color w:val="auto"/>
          <w:lang w:eastAsia="en-US"/>
        </w:rPr>
        <w:t xml:space="preserve">immediately </w:t>
      </w:r>
      <w:r w:rsidR="00B75288">
        <w:rPr>
          <w:rFonts w:eastAsia="Calibri" w:cs="Arial"/>
          <w:color w:val="auto"/>
          <w:lang w:eastAsia="en-US"/>
        </w:rPr>
        <w:t xml:space="preserve">sub-contracted </w:t>
      </w:r>
      <w:r w:rsidR="00D0587B">
        <w:rPr>
          <w:rFonts w:eastAsia="Calibri" w:cs="Arial"/>
          <w:color w:val="auto"/>
          <w:lang w:eastAsia="en-US"/>
        </w:rPr>
        <w:t xml:space="preserve">by the City Council </w:t>
      </w:r>
      <w:r w:rsidR="00B75288">
        <w:rPr>
          <w:rFonts w:eastAsia="Calibri" w:cs="Arial"/>
          <w:color w:val="auto"/>
          <w:lang w:eastAsia="en-US"/>
        </w:rPr>
        <w:t xml:space="preserve">to ODSL to perform the required </w:t>
      </w:r>
      <w:r w:rsidR="00C463F6">
        <w:rPr>
          <w:rFonts w:eastAsia="Calibri" w:cs="Arial"/>
          <w:color w:val="auto"/>
          <w:lang w:eastAsia="en-US"/>
        </w:rPr>
        <w:t xml:space="preserve">car park </w:t>
      </w:r>
      <w:r w:rsidR="00B75288">
        <w:rPr>
          <w:rFonts w:eastAsia="Calibri" w:cs="Arial"/>
          <w:color w:val="auto"/>
          <w:lang w:eastAsia="en-US"/>
        </w:rPr>
        <w:t>management services.</w:t>
      </w:r>
      <w:r w:rsidR="00493A16" w:rsidRPr="001844E7">
        <w:rPr>
          <w:rFonts w:eastAsia="Calibri" w:cs="Arial"/>
          <w:color w:val="auto"/>
          <w:lang w:eastAsia="en-US"/>
        </w:rPr>
        <w:t xml:space="preserve"> </w:t>
      </w:r>
    </w:p>
    <w:p w:rsidR="00017D39" w:rsidRDefault="00017D39" w:rsidP="00017D39">
      <w:pPr>
        <w:pStyle w:val="ListParagraph"/>
        <w:numPr>
          <w:ilvl w:val="0"/>
          <w:numId w:val="0"/>
        </w:numPr>
        <w:ind w:left="426"/>
        <w:rPr>
          <w:rFonts w:eastAsia="Calibri" w:cs="Arial"/>
          <w:color w:val="auto"/>
          <w:lang w:eastAsia="en-US"/>
        </w:rPr>
      </w:pPr>
    </w:p>
    <w:p w:rsidR="00017D39" w:rsidRPr="00800D23" w:rsidRDefault="00E15E91" w:rsidP="005B4038">
      <w:pPr>
        <w:numPr>
          <w:ilvl w:val="0"/>
          <w:numId w:val="34"/>
        </w:numPr>
        <w:rPr>
          <w:rFonts w:eastAsia="Calibri" w:cs="Arial"/>
          <w:color w:val="auto"/>
          <w:lang w:eastAsia="en-US"/>
        </w:rPr>
      </w:pPr>
      <w:r w:rsidRPr="00800D23">
        <w:rPr>
          <w:rFonts w:eastAsia="Calibri" w:cs="Arial"/>
          <w:color w:val="auto"/>
          <w:lang w:eastAsia="en-US"/>
        </w:rPr>
        <w:t xml:space="preserve">Oxford City Council would </w:t>
      </w:r>
      <w:r w:rsidR="006F4BE5">
        <w:rPr>
          <w:rFonts w:eastAsia="Calibri" w:cs="Arial"/>
          <w:color w:val="auto"/>
          <w:lang w:eastAsia="en-US"/>
        </w:rPr>
        <w:t xml:space="preserve">therefore </w:t>
      </w:r>
      <w:r w:rsidRPr="00800D23">
        <w:rPr>
          <w:rFonts w:eastAsia="Calibri" w:cs="Arial"/>
          <w:color w:val="auto"/>
          <w:lang w:eastAsia="en-US"/>
        </w:rPr>
        <w:t xml:space="preserve">enter into and Agency agreement with Oxfordshire County Council to provide management services for the County’s Park &amp; Ride sites </w:t>
      </w:r>
      <w:r w:rsidR="006F4BE5">
        <w:rPr>
          <w:rFonts w:eastAsia="Calibri" w:cs="Arial"/>
          <w:color w:val="auto"/>
          <w:lang w:eastAsia="en-US"/>
        </w:rPr>
        <w:t>at</w:t>
      </w:r>
      <w:r w:rsidR="00990EF1">
        <w:rPr>
          <w:rFonts w:eastAsia="Calibri" w:cs="Arial"/>
          <w:color w:val="auto"/>
          <w:lang w:eastAsia="en-US"/>
        </w:rPr>
        <w:t xml:space="preserve"> </w:t>
      </w:r>
      <w:r w:rsidRPr="00800D23">
        <w:rPr>
          <w:rFonts w:eastAsia="Calibri" w:cs="Arial"/>
          <w:color w:val="auto"/>
          <w:lang w:eastAsia="en-US"/>
        </w:rPr>
        <w:t xml:space="preserve">Oxford Parkway (Water Eaton) and Thornhill. </w:t>
      </w:r>
      <w:r w:rsidR="00271A8F" w:rsidRPr="00800D23">
        <w:rPr>
          <w:rFonts w:eastAsia="Calibri" w:cs="Arial"/>
          <w:color w:val="auto"/>
          <w:lang w:eastAsia="en-US"/>
        </w:rPr>
        <w:t>Th</w:t>
      </w:r>
      <w:r w:rsidR="006F4BE5">
        <w:rPr>
          <w:rFonts w:eastAsia="Calibri" w:cs="Arial"/>
          <w:color w:val="auto"/>
          <w:lang w:eastAsia="en-US"/>
        </w:rPr>
        <w:t xml:space="preserve">ese duties would </w:t>
      </w:r>
      <w:r w:rsidR="00271A8F" w:rsidRPr="00800D23">
        <w:rPr>
          <w:rFonts w:eastAsia="Calibri" w:cs="Arial"/>
          <w:color w:val="auto"/>
          <w:lang w:eastAsia="en-US"/>
        </w:rPr>
        <w:t xml:space="preserve">  then be subcontracted to ODS</w:t>
      </w:r>
      <w:r w:rsidR="006F4BE5">
        <w:rPr>
          <w:rFonts w:eastAsia="Calibri" w:cs="Arial"/>
          <w:color w:val="auto"/>
          <w:lang w:eastAsia="en-US"/>
        </w:rPr>
        <w:t>L</w:t>
      </w:r>
      <w:r w:rsidR="00271A8F" w:rsidRPr="00800D23">
        <w:rPr>
          <w:rFonts w:eastAsia="Calibri" w:cs="Arial"/>
          <w:color w:val="auto"/>
          <w:lang w:eastAsia="en-US"/>
        </w:rPr>
        <w:t>.</w:t>
      </w:r>
    </w:p>
    <w:p w:rsidR="00E15E91" w:rsidRPr="00800D23" w:rsidRDefault="00E15E91" w:rsidP="00E15E91">
      <w:pPr>
        <w:pStyle w:val="ListParagraph"/>
        <w:numPr>
          <w:ilvl w:val="0"/>
          <w:numId w:val="0"/>
        </w:numPr>
        <w:ind w:left="426"/>
        <w:rPr>
          <w:rFonts w:eastAsia="Calibri" w:cs="Arial"/>
          <w:color w:val="auto"/>
          <w:lang w:eastAsia="en-US"/>
        </w:rPr>
      </w:pPr>
    </w:p>
    <w:p w:rsidR="00E15E91" w:rsidRPr="00800D23" w:rsidRDefault="00E15E91" w:rsidP="005B4038">
      <w:pPr>
        <w:numPr>
          <w:ilvl w:val="0"/>
          <w:numId w:val="34"/>
        </w:numPr>
        <w:rPr>
          <w:rFonts w:eastAsia="Calibri" w:cs="Arial"/>
          <w:color w:val="auto"/>
          <w:lang w:eastAsia="en-US"/>
        </w:rPr>
      </w:pPr>
      <w:r w:rsidRPr="00800D23">
        <w:rPr>
          <w:rFonts w:eastAsia="Calibri" w:cs="Arial"/>
          <w:color w:val="auto"/>
          <w:lang w:eastAsia="en-US"/>
        </w:rPr>
        <w:t>Th</w:t>
      </w:r>
      <w:r w:rsidR="00271A8F" w:rsidRPr="00800D23">
        <w:rPr>
          <w:rFonts w:eastAsia="Calibri" w:cs="Arial"/>
          <w:color w:val="auto"/>
          <w:lang w:eastAsia="en-US"/>
        </w:rPr>
        <w:t xml:space="preserve">e agreement </w:t>
      </w:r>
      <w:r w:rsidRPr="00800D23">
        <w:rPr>
          <w:rFonts w:eastAsia="Calibri" w:cs="Arial"/>
          <w:color w:val="auto"/>
          <w:lang w:eastAsia="en-US"/>
        </w:rPr>
        <w:t xml:space="preserve">will include parking enforcement, the processing of parking appeals, ticket machine maintenance and the general day-to-day management </w:t>
      </w:r>
      <w:r w:rsidR="00271A8F" w:rsidRPr="00800D23">
        <w:rPr>
          <w:rFonts w:eastAsia="Calibri" w:cs="Arial"/>
          <w:color w:val="auto"/>
          <w:lang w:eastAsia="en-US"/>
        </w:rPr>
        <w:t>of the</w:t>
      </w:r>
      <w:r w:rsidRPr="00800D23">
        <w:rPr>
          <w:rFonts w:eastAsia="Calibri" w:cs="Arial"/>
          <w:color w:val="auto"/>
          <w:lang w:eastAsia="en-US"/>
        </w:rPr>
        <w:t xml:space="preserve"> sites.</w:t>
      </w:r>
    </w:p>
    <w:p w:rsidR="00271A8F" w:rsidRDefault="00271A8F" w:rsidP="00271A8F">
      <w:pPr>
        <w:pStyle w:val="ListParagraph"/>
        <w:numPr>
          <w:ilvl w:val="0"/>
          <w:numId w:val="0"/>
        </w:numPr>
        <w:ind w:left="426"/>
        <w:rPr>
          <w:rFonts w:eastAsia="Calibri" w:cs="Arial"/>
          <w:color w:val="FF0000"/>
          <w:lang w:eastAsia="en-US"/>
        </w:rPr>
      </w:pPr>
    </w:p>
    <w:p w:rsidR="00BA052E" w:rsidRPr="001844E7" w:rsidRDefault="00BA052E" w:rsidP="005B4038">
      <w:pPr>
        <w:numPr>
          <w:ilvl w:val="0"/>
          <w:numId w:val="34"/>
        </w:numPr>
        <w:rPr>
          <w:rFonts w:eastAsia="Calibri" w:cs="Arial"/>
          <w:color w:val="auto"/>
          <w:lang w:eastAsia="en-US"/>
        </w:rPr>
      </w:pPr>
      <w:r w:rsidRPr="001844E7">
        <w:rPr>
          <w:rFonts w:eastAsia="Calibri" w:cs="Arial"/>
          <w:color w:val="auto"/>
          <w:lang w:eastAsia="en-US"/>
        </w:rPr>
        <w:t xml:space="preserve">This proposal will build on the success of other agency </w:t>
      </w:r>
      <w:r w:rsidR="009D2A9A" w:rsidRPr="001844E7">
        <w:rPr>
          <w:rFonts w:eastAsia="Calibri" w:cs="Arial"/>
          <w:color w:val="auto"/>
          <w:lang w:eastAsia="en-US"/>
        </w:rPr>
        <w:t xml:space="preserve">agreements that have been entered into by Oxford City </w:t>
      </w:r>
      <w:r w:rsidR="006F4BE5">
        <w:rPr>
          <w:rFonts w:eastAsia="Calibri" w:cs="Arial"/>
          <w:color w:val="auto"/>
          <w:lang w:eastAsia="en-US"/>
        </w:rPr>
        <w:t xml:space="preserve">Council </w:t>
      </w:r>
      <w:r w:rsidR="009D2A9A" w:rsidRPr="001844E7">
        <w:rPr>
          <w:rFonts w:eastAsia="Calibri" w:cs="Arial"/>
          <w:color w:val="auto"/>
          <w:lang w:eastAsia="en-US"/>
        </w:rPr>
        <w:t xml:space="preserve">and Oxfordshire County Council and </w:t>
      </w:r>
      <w:r w:rsidR="009D2A9A" w:rsidRPr="001844E7">
        <w:rPr>
          <w:rFonts w:eastAsia="Calibri" w:cs="Arial"/>
          <w:color w:val="auto"/>
          <w:lang w:eastAsia="en-US"/>
        </w:rPr>
        <w:lastRenderedPageBreak/>
        <w:t>underline</w:t>
      </w:r>
      <w:r w:rsidRPr="001844E7">
        <w:rPr>
          <w:rFonts w:eastAsia="Calibri" w:cs="Arial"/>
          <w:color w:val="auto"/>
          <w:lang w:eastAsia="en-US"/>
        </w:rPr>
        <w:t xml:space="preserve"> the commitment of both authorities to work closely to benefit the residents and visitors of Oxfordshire. </w:t>
      </w:r>
    </w:p>
    <w:p w:rsidR="005B4038" w:rsidRPr="001844E7" w:rsidRDefault="005B4038" w:rsidP="005B4038">
      <w:pPr>
        <w:pStyle w:val="ListParagraph"/>
        <w:numPr>
          <w:ilvl w:val="0"/>
          <w:numId w:val="0"/>
        </w:numPr>
        <w:ind w:left="426"/>
        <w:rPr>
          <w:rFonts w:eastAsia="Calibri" w:cs="Arial"/>
          <w:color w:val="auto"/>
          <w:lang w:eastAsia="en-US"/>
        </w:rPr>
      </w:pPr>
    </w:p>
    <w:p w:rsidR="00493A16" w:rsidRPr="001844E7" w:rsidRDefault="00493A16" w:rsidP="00493A16">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This proposal ensures that all </w:t>
      </w:r>
      <w:r w:rsidR="00D0587B">
        <w:rPr>
          <w:rFonts w:eastAsia="Calibri" w:cs="Arial"/>
          <w:color w:val="auto"/>
          <w:lang w:eastAsia="en-US"/>
        </w:rPr>
        <w:t xml:space="preserve">P&amp;R </w:t>
      </w:r>
      <w:r w:rsidRPr="001844E7">
        <w:rPr>
          <w:rFonts w:eastAsia="Calibri" w:cs="Arial"/>
          <w:color w:val="auto"/>
          <w:lang w:eastAsia="en-US"/>
        </w:rPr>
        <w:t xml:space="preserve">sites are managed by a single entity, which facilitates rationalisation of the parking services and promotes a closer working relationship with between Oxford City </w:t>
      </w:r>
      <w:r w:rsidR="00D0587B">
        <w:rPr>
          <w:rFonts w:eastAsia="Calibri" w:cs="Arial"/>
          <w:color w:val="auto"/>
          <w:lang w:eastAsia="en-US"/>
        </w:rPr>
        <w:t xml:space="preserve">Council </w:t>
      </w:r>
      <w:r w:rsidRPr="001844E7">
        <w:rPr>
          <w:rFonts w:eastAsia="Calibri" w:cs="Arial"/>
          <w:color w:val="auto"/>
          <w:lang w:eastAsia="en-US"/>
        </w:rPr>
        <w:t xml:space="preserve">and </w:t>
      </w:r>
      <w:r w:rsidR="006F4BE5">
        <w:rPr>
          <w:rFonts w:eastAsia="Calibri" w:cs="Arial"/>
          <w:color w:val="auto"/>
          <w:lang w:eastAsia="en-US"/>
        </w:rPr>
        <w:t xml:space="preserve">Oxfordshire </w:t>
      </w:r>
      <w:r w:rsidRPr="001844E7">
        <w:rPr>
          <w:rFonts w:eastAsia="Calibri" w:cs="Arial"/>
          <w:color w:val="auto"/>
          <w:lang w:eastAsia="en-US"/>
        </w:rPr>
        <w:t xml:space="preserve">County Council. </w:t>
      </w:r>
    </w:p>
    <w:p w:rsidR="00493A16" w:rsidRPr="001844E7" w:rsidRDefault="00493A16" w:rsidP="00493A16">
      <w:pPr>
        <w:pStyle w:val="ListParagraph"/>
        <w:numPr>
          <w:ilvl w:val="0"/>
          <w:numId w:val="0"/>
        </w:numPr>
        <w:spacing w:after="0"/>
        <w:ind w:left="720"/>
        <w:contextualSpacing/>
        <w:rPr>
          <w:rFonts w:eastAsia="Calibri" w:cs="Arial"/>
          <w:color w:val="auto"/>
          <w:lang w:eastAsia="en-US"/>
        </w:rPr>
      </w:pPr>
    </w:p>
    <w:p w:rsidR="00493A16" w:rsidRPr="001844E7" w:rsidRDefault="00493A16" w:rsidP="00493A16">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It is envisaged that this agreement will facilitate future working agreements between the parking services, which ensures that a cohesive approach is adopted when dealing with the transport &amp; parking challenges Oxford encounters.  </w:t>
      </w:r>
    </w:p>
    <w:p w:rsidR="009D2A9A" w:rsidRPr="001844E7" w:rsidRDefault="009D2A9A" w:rsidP="009D2A9A">
      <w:pPr>
        <w:pStyle w:val="ListParagraph"/>
        <w:numPr>
          <w:ilvl w:val="0"/>
          <w:numId w:val="0"/>
        </w:numPr>
        <w:ind w:left="426"/>
        <w:rPr>
          <w:rFonts w:eastAsia="Calibri" w:cs="Arial"/>
          <w:color w:val="auto"/>
          <w:lang w:eastAsia="en-US"/>
        </w:rPr>
      </w:pPr>
    </w:p>
    <w:p w:rsidR="009D2A9A" w:rsidRPr="001844E7" w:rsidRDefault="009D2A9A" w:rsidP="009D2A9A">
      <w:pPr>
        <w:ind w:left="426" w:hanging="426"/>
        <w:rPr>
          <w:rFonts w:eastAsia="Calibri" w:cs="Arial"/>
          <w:b/>
          <w:color w:val="auto"/>
          <w:lang w:eastAsia="en-US"/>
        </w:rPr>
      </w:pPr>
      <w:r w:rsidRPr="001844E7">
        <w:rPr>
          <w:rFonts w:eastAsia="Calibri" w:cs="Arial"/>
          <w:b/>
          <w:color w:val="auto"/>
          <w:lang w:eastAsia="en-US"/>
        </w:rPr>
        <w:t>Financial implications</w:t>
      </w:r>
    </w:p>
    <w:p w:rsidR="009D2A9A" w:rsidRPr="001844E7" w:rsidRDefault="009D2A9A" w:rsidP="009D2A9A">
      <w:pPr>
        <w:ind w:left="426" w:hanging="426"/>
        <w:rPr>
          <w:rFonts w:eastAsia="Calibri" w:cs="Arial"/>
          <w:color w:val="auto"/>
          <w:lang w:eastAsia="en-US"/>
        </w:rPr>
      </w:pPr>
    </w:p>
    <w:p w:rsidR="001844E7" w:rsidRPr="001844E7" w:rsidRDefault="006F4BE5" w:rsidP="00493A16">
      <w:pPr>
        <w:pStyle w:val="ListParagraph"/>
        <w:numPr>
          <w:ilvl w:val="0"/>
          <w:numId w:val="34"/>
        </w:numPr>
        <w:spacing w:after="0"/>
        <w:contextualSpacing/>
        <w:rPr>
          <w:rFonts w:eastAsia="Calibri" w:cs="Arial"/>
          <w:color w:val="auto"/>
          <w:lang w:eastAsia="en-US"/>
        </w:rPr>
      </w:pPr>
      <w:r>
        <w:rPr>
          <w:rFonts w:eastAsia="Calibri" w:cs="Arial"/>
          <w:color w:val="auto"/>
          <w:lang w:eastAsia="en-US"/>
        </w:rPr>
        <w:t xml:space="preserve">The </w:t>
      </w:r>
      <w:r w:rsidR="00E044C0" w:rsidRPr="001844E7">
        <w:rPr>
          <w:rFonts w:eastAsia="Calibri" w:cs="Arial"/>
          <w:color w:val="auto"/>
          <w:lang w:eastAsia="en-US"/>
        </w:rPr>
        <w:t xml:space="preserve"> payment</w:t>
      </w:r>
      <w:r>
        <w:rPr>
          <w:rFonts w:eastAsia="Calibri" w:cs="Arial"/>
          <w:color w:val="auto"/>
          <w:lang w:eastAsia="en-US"/>
        </w:rPr>
        <w:t>s received by the Council</w:t>
      </w:r>
      <w:r w:rsidR="00E044C0" w:rsidRPr="001844E7">
        <w:rPr>
          <w:rFonts w:eastAsia="Calibri" w:cs="Arial"/>
          <w:color w:val="auto"/>
          <w:lang w:eastAsia="en-US"/>
        </w:rPr>
        <w:t xml:space="preserve"> for undertaking the management of the Park &amp; Ride sites</w:t>
      </w:r>
      <w:r>
        <w:rPr>
          <w:rFonts w:eastAsia="Calibri" w:cs="Arial"/>
          <w:color w:val="auto"/>
          <w:lang w:eastAsia="en-US"/>
        </w:rPr>
        <w:t xml:space="preserve"> will be passed on to ODSL</w:t>
      </w:r>
      <w:r w:rsidR="00E044C0" w:rsidRPr="001844E7">
        <w:rPr>
          <w:rFonts w:eastAsia="Calibri" w:cs="Arial"/>
          <w:color w:val="auto"/>
          <w:lang w:eastAsia="en-US"/>
        </w:rPr>
        <w:t xml:space="preserve">. Staff costs will remain neutral and officers do not expect this to adversely impact the parking operation. On the contrary, the proposal ensures that the entire Park &amp; Ride portfolio </w:t>
      </w:r>
      <w:r w:rsidR="00AB515B">
        <w:rPr>
          <w:rFonts w:eastAsia="Calibri" w:cs="Arial"/>
          <w:color w:val="auto"/>
          <w:lang w:eastAsia="en-US"/>
        </w:rPr>
        <w:t xml:space="preserve">in Oxfordshire </w:t>
      </w:r>
      <w:r w:rsidR="00E044C0" w:rsidRPr="001844E7">
        <w:rPr>
          <w:rFonts w:eastAsia="Calibri" w:cs="Arial"/>
          <w:color w:val="auto"/>
          <w:lang w:eastAsia="en-US"/>
        </w:rPr>
        <w:t xml:space="preserve">operates as a cohesive scheme. </w:t>
      </w:r>
    </w:p>
    <w:p w:rsidR="009D2A9A" w:rsidRPr="001844E7" w:rsidRDefault="00E044C0" w:rsidP="001844E7">
      <w:pPr>
        <w:pStyle w:val="ListParagraph"/>
        <w:numPr>
          <w:ilvl w:val="0"/>
          <w:numId w:val="0"/>
        </w:numPr>
        <w:spacing w:after="0"/>
        <w:ind w:left="720"/>
        <w:contextualSpacing/>
        <w:rPr>
          <w:rFonts w:eastAsia="Calibri" w:cs="Arial"/>
          <w:color w:val="auto"/>
          <w:lang w:eastAsia="en-US"/>
        </w:rPr>
      </w:pPr>
      <w:r w:rsidRPr="001844E7">
        <w:rPr>
          <w:rFonts w:eastAsia="Calibri" w:cs="Arial"/>
          <w:color w:val="auto"/>
          <w:lang w:eastAsia="en-US"/>
        </w:rPr>
        <w:t xml:space="preserve"> </w:t>
      </w:r>
    </w:p>
    <w:p w:rsidR="001844E7" w:rsidRPr="001844E7" w:rsidRDefault="001844E7" w:rsidP="00493A16">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TUPE conditions </w:t>
      </w:r>
      <w:r w:rsidR="006F4BE5">
        <w:rPr>
          <w:rFonts w:eastAsia="Calibri" w:cs="Arial"/>
          <w:color w:val="auto"/>
          <w:lang w:eastAsia="en-US"/>
        </w:rPr>
        <w:t>may apply to the</w:t>
      </w:r>
      <w:r w:rsidR="00990EF1">
        <w:rPr>
          <w:rFonts w:eastAsia="Calibri" w:cs="Arial"/>
          <w:color w:val="auto"/>
          <w:lang w:eastAsia="en-US"/>
        </w:rPr>
        <w:t xml:space="preserve"> 7</w:t>
      </w:r>
      <w:r w:rsidR="00C463F6">
        <w:rPr>
          <w:rFonts w:eastAsia="Calibri" w:cs="Arial"/>
          <w:color w:val="auto"/>
          <w:lang w:eastAsia="en-US"/>
        </w:rPr>
        <w:t xml:space="preserve"> </w:t>
      </w:r>
      <w:r w:rsidR="006F4BE5">
        <w:rPr>
          <w:rFonts w:eastAsia="Calibri" w:cs="Arial"/>
          <w:color w:val="auto"/>
          <w:lang w:eastAsia="en-US"/>
        </w:rPr>
        <w:t xml:space="preserve">staff currently engaged </w:t>
      </w:r>
      <w:r w:rsidR="00C463F6">
        <w:rPr>
          <w:rFonts w:eastAsia="Calibri" w:cs="Arial"/>
          <w:color w:val="auto"/>
          <w:lang w:eastAsia="en-US"/>
        </w:rPr>
        <w:t xml:space="preserve">by the County’s contractor </w:t>
      </w:r>
      <w:r w:rsidR="006F4BE5">
        <w:rPr>
          <w:rFonts w:eastAsia="Calibri" w:cs="Arial"/>
          <w:color w:val="auto"/>
          <w:lang w:eastAsia="en-US"/>
        </w:rPr>
        <w:t>at the two County P&amp;R Sites</w:t>
      </w:r>
      <w:r w:rsidRPr="001844E7">
        <w:rPr>
          <w:rFonts w:eastAsia="Calibri" w:cs="Arial"/>
          <w:color w:val="auto"/>
          <w:lang w:eastAsia="en-US"/>
        </w:rPr>
        <w:t xml:space="preserve"> and </w:t>
      </w:r>
      <w:r w:rsidR="00C463F6">
        <w:rPr>
          <w:rFonts w:eastAsia="Calibri" w:cs="Arial"/>
          <w:color w:val="auto"/>
          <w:lang w:eastAsia="en-US"/>
        </w:rPr>
        <w:t xml:space="preserve">as a result </w:t>
      </w:r>
      <w:r w:rsidRPr="001844E7">
        <w:rPr>
          <w:rFonts w:eastAsia="Calibri" w:cs="Arial"/>
          <w:color w:val="auto"/>
          <w:lang w:eastAsia="en-US"/>
        </w:rPr>
        <w:t xml:space="preserve">there may be some </w:t>
      </w:r>
      <w:r w:rsidR="00C5348C">
        <w:rPr>
          <w:rFonts w:eastAsia="Calibri" w:cs="Arial"/>
          <w:color w:val="auto"/>
          <w:lang w:eastAsia="en-US"/>
        </w:rPr>
        <w:t xml:space="preserve">additional </w:t>
      </w:r>
      <w:r w:rsidRPr="001844E7">
        <w:rPr>
          <w:rFonts w:eastAsia="Calibri" w:cs="Arial"/>
          <w:color w:val="auto"/>
          <w:lang w:eastAsia="en-US"/>
        </w:rPr>
        <w:t xml:space="preserve">costs associated </w:t>
      </w:r>
      <w:r w:rsidR="00C5348C">
        <w:rPr>
          <w:rFonts w:eastAsia="Calibri" w:cs="Arial"/>
          <w:color w:val="auto"/>
          <w:lang w:eastAsia="en-US"/>
        </w:rPr>
        <w:t>with the</w:t>
      </w:r>
      <w:r w:rsidRPr="001844E7">
        <w:rPr>
          <w:rFonts w:eastAsia="Calibri" w:cs="Arial"/>
          <w:color w:val="auto"/>
          <w:lang w:eastAsia="en-US"/>
        </w:rPr>
        <w:t xml:space="preserve"> process</w:t>
      </w:r>
      <w:r w:rsidR="00C5348C">
        <w:rPr>
          <w:rFonts w:eastAsia="Calibri" w:cs="Arial"/>
          <w:color w:val="auto"/>
          <w:lang w:eastAsia="en-US"/>
        </w:rPr>
        <w:t xml:space="preserve"> of transferring management of the sites to ODSL</w:t>
      </w:r>
      <w:r w:rsidRPr="001844E7">
        <w:rPr>
          <w:rFonts w:eastAsia="Calibri" w:cs="Arial"/>
          <w:color w:val="auto"/>
          <w:lang w:eastAsia="en-US"/>
        </w:rPr>
        <w:t xml:space="preserve">. </w:t>
      </w:r>
    </w:p>
    <w:p w:rsidR="009D2A9A" w:rsidRPr="001844E7" w:rsidRDefault="009D2A9A" w:rsidP="009D2A9A">
      <w:pPr>
        <w:pStyle w:val="ListParagraph"/>
        <w:numPr>
          <w:ilvl w:val="0"/>
          <w:numId w:val="0"/>
        </w:numPr>
        <w:ind w:left="426"/>
        <w:rPr>
          <w:rFonts w:eastAsia="Calibri" w:cs="Arial"/>
          <w:color w:val="auto"/>
          <w:lang w:eastAsia="en-US"/>
        </w:rPr>
      </w:pPr>
    </w:p>
    <w:p w:rsidR="00E044C0" w:rsidRPr="001844E7" w:rsidRDefault="00E044C0" w:rsidP="00493A16">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It is expected that Oxfordshire County Council will be able to make some efficiency savings as a result of this proposal and will see an enhanced level of service provided. </w:t>
      </w:r>
    </w:p>
    <w:p w:rsidR="007C2114" w:rsidRPr="001844E7" w:rsidRDefault="007C2114" w:rsidP="007C2114">
      <w:pPr>
        <w:pStyle w:val="ListParagraph"/>
        <w:numPr>
          <w:ilvl w:val="0"/>
          <w:numId w:val="0"/>
        </w:numPr>
        <w:ind w:left="426"/>
        <w:rPr>
          <w:rFonts w:eastAsia="Calibri" w:cs="Arial"/>
          <w:color w:val="auto"/>
          <w:lang w:eastAsia="en-US"/>
        </w:rPr>
      </w:pPr>
    </w:p>
    <w:p w:rsidR="007C2114" w:rsidRDefault="007C2114" w:rsidP="007C2114">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This Agreement </w:t>
      </w:r>
      <w:r w:rsidR="00F513D1">
        <w:rPr>
          <w:rFonts w:eastAsia="Calibri" w:cs="Arial"/>
          <w:color w:val="auto"/>
          <w:lang w:eastAsia="en-US"/>
        </w:rPr>
        <w:t xml:space="preserve">is proposed to </w:t>
      </w:r>
      <w:r w:rsidRPr="001844E7">
        <w:rPr>
          <w:rFonts w:eastAsia="Calibri" w:cs="Arial"/>
          <w:color w:val="auto"/>
          <w:lang w:eastAsia="en-US"/>
        </w:rPr>
        <w:t>operate on and from 1st September 2019 and expire on 30th August 2024 subject to a right to extend a further two years (in one year instalments) by mutual agreement to [30th August 2026.</w:t>
      </w:r>
    </w:p>
    <w:p w:rsidR="00475379" w:rsidRPr="00475379" w:rsidRDefault="00475379" w:rsidP="00475379">
      <w:pPr>
        <w:pStyle w:val="ListParagraph"/>
        <w:numPr>
          <w:ilvl w:val="0"/>
          <w:numId w:val="0"/>
        </w:numPr>
        <w:ind w:left="426"/>
        <w:rPr>
          <w:rFonts w:eastAsia="Calibri" w:cs="Arial"/>
          <w:color w:val="auto"/>
          <w:lang w:eastAsia="en-US"/>
        </w:rPr>
      </w:pPr>
    </w:p>
    <w:p w:rsidR="00475379" w:rsidRDefault="00475379" w:rsidP="00475379">
      <w:pPr>
        <w:pStyle w:val="ListParagraph"/>
        <w:numPr>
          <w:ilvl w:val="0"/>
          <w:numId w:val="34"/>
        </w:numPr>
        <w:spacing w:after="0"/>
        <w:contextualSpacing/>
        <w:rPr>
          <w:rFonts w:eastAsia="Calibri" w:cs="Arial"/>
          <w:color w:val="auto"/>
          <w:lang w:eastAsia="en-US"/>
        </w:rPr>
      </w:pPr>
      <w:r w:rsidRPr="00800D23">
        <w:rPr>
          <w:rFonts w:eastAsia="Calibri" w:cs="Arial"/>
          <w:color w:val="auto"/>
          <w:lang w:eastAsia="en-US"/>
        </w:rPr>
        <w:t xml:space="preserve">Oxford City Council through its wholly owned Local Authority Trading Company, Oxford Direct Services (ODS) will receive £299,800 per annum for the </w:t>
      </w:r>
      <w:r w:rsidR="006B3848">
        <w:rPr>
          <w:rFonts w:eastAsia="Calibri" w:cs="Arial"/>
          <w:color w:val="auto"/>
          <w:lang w:eastAsia="en-US"/>
        </w:rPr>
        <w:t xml:space="preserve">initial </w:t>
      </w:r>
      <w:r w:rsidRPr="00800D23">
        <w:rPr>
          <w:rFonts w:eastAsia="Calibri" w:cs="Arial"/>
          <w:color w:val="auto"/>
          <w:lang w:eastAsia="en-US"/>
        </w:rPr>
        <w:t>contract term</w:t>
      </w:r>
      <w:r w:rsidR="006B3848">
        <w:rPr>
          <w:rFonts w:eastAsia="Calibri" w:cs="Arial"/>
          <w:color w:val="auto"/>
          <w:lang w:eastAsia="en-US"/>
        </w:rPr>
        <w:t xml:space="preserve"> 1 September 2019 to 30 August 2024</w:t>
      </w:r>
      <w:r w:rsidRPr="00800D23">
        <w:rPr>
          <w:rFonts w:eastAsia="Calibri" w:cs="Arial"/>
          <w:color w:val="auto"/>
          <w:lang w:eastAsia="en-US"/>
        </w:rPr>
        <w:t>.</w:t>
      </w:r>
    </w:p>
    <w:p w:rsidR="001C3D47" w:rsidRPr="001C3D47" w:rsidRDefault="001C3D47" w:rsidP="001C3D47">
      <w:pPr>
        <w:pStyle w:val="ListParagraph"/>
        <w:numPr>
          <w:ilvl w:val="0"/>
          <w:numId w:val="0"/>
        </w:numPr>
        <w:ind w:left="426"/>
        <w:rPr>
          <w:rFonts w:eastAsia="Calibri" w:cs="Arial"/>
          <w:color w:val="auto"/>
          <w:lang w:eastAsia="en-US"/>
        </w:rPr>
      </w:pPr>
    </w:p>
    <w:p w:rsidR="001C3D47" w:rsidRDefault="001C3D47" w:rsidP="001C3D47">
      <w:pPr>
        <w:pStyle w:val="ListParagraph"/>
        <w:numPr>
          <w:ilvl w:val="0"/>
          <w:numId w:val="34"/>
        </w:numPr>
        <w:spacing w:after="0"/>
        <w:contextualSpacing/>
        <w:rPr>
          <w:rFonts w:eastAsia="Calibri" w:cs="Arial"/>
          <w:color w:val="auto"/>
          <w:lang w:eastAsia="en-US"/>
        </w:rPr>
      </w:pPr>
      <w:r w:rsidRPr="001C3D47">
        <w:rPr>
          <w:rFonts w:eastAsia="Calibri" w:cs="Arial"/>
          <w:color w:val="auto"/>
          <w:lang w:eastAsia="en-US"/>
        </w:rPr>
        <w:t xml:space="preserve">As ODS intends to assimilate the two County car parks into their current service and will utilise existing technology and personnel, it is not envisaged that there will be any additional costs of note to ODS as a result of this proposal.  </w:t>
      </w:r>
    </w:p>
    <w:p w:rsidR="001C3D47" w:rsidRPr="001C3D47" w:rsidRDefault="001C3D47" w:rsidP="001C3D47">
      <w:pPr>
        <w:rPr>
          <w:rFonts w:eastAsia="Calibri" w:cs="Arial"/>
          <w:color w:val="auto"/>
          <w:lang w:eastAsia="en-US"/>
        </w:rPr>
      </w:pPr>
    </w:p>
    <w:p w:rsidR="001C3D47" w:rsidRDefault="001C3D47" w:rsidP="001C3D47">
      <w:pPr>
        <w:pStyle w:val="ListParagraph"/>
        <w:numPr>
          <w:ilvl w:val="0"/>
          <w:numId w:val="34"/>
        </w:numPr>
        <w:spacing w:after="0"/>
        <w:contextualSpacing/>
        <w:rPr>
          <w:rFonts w:eastAsia="Calibri" w:cs="Arial"/>
          <w:color w:val="auto"/>
          <w:lang w:eastAsia="en-US"/>
        </w:rPr>
      </w:pPr>
      <w:r w:rsidRPr="001C3D47">
        <w:rPr>
          <w:rFonts w:eastAsia="Calibri" w:cs="Arial"/>
          <w:color w:val="auto"/>
          <w:lang w:eastAsia="en-US"/>
        </w:rPr>
        <w:t xml:space="preserve">The P&amp;R proposal is one facet of a number of parking projects that the City/ODS and County Council are collaborating on. Within the ODS business plan parking services provide the foundation to extend and grow managed services for strategic partners. Specifically the growth of Park &amp; Ride as part of managed services form part of the other growth target within the MTFP. If ODS </w:t>
      </w:r>
      <w:r w:rsidRPr="001C3D47">
        <w:rPr>
          <w:rFonts w:eastAsia="Calibri" w:cs="Arial"/>
          <w:color w:val="auto"/>
          <w:lang w:eastAsia="en-US"/>
        </w:rPr>
        <w:lastRenderedPageBreak/>
        <w:t>overachieves the MTFP growth target, there will be the potential of an increased dividend payment in accordance with the dividend policy.</w:t>
      </w:r>
    </w:p>
    <w:p w:rsidR="00EA78DF" w:rsidRPr="00CB7890" w:rsidRDefault="00EA78DF" w:rsidP="00CB7890">
      <w:pPr>
        <w:pStyle w:val="ListParagraph"/>
        <w:numPr>
          <w:ilvl w:val="0"/>
          <w:numId w:val="0"/>
        </w:numPr>
        <w:ind w:left="426"/>
        <w:rPr>
          <w:rFonts w:eastAsia="Calibri" w:cs="Arial"/>
          <w:color w:val="auto"/>
          <w:lang w:eastAsia="en-US"/>
        </w:rPr>
      </w:pPr>
    </w:p>
    <w:p w:rsidR="005C0F02" w:rsidRPr="001844E7" w:rsidRDefault="005C0F02" w:rsidP="005C0F02">
      <w:pPr>
        <w:spacing w:after="0"/>
        <w:contextualSpacing/>
        <w:rPr>
          <w:rFonts w:eastAsia="Calibri" w:cs="Arial"/>
          <w:b/>
          <w:color w:val="auto"/>
          <w:lang w:eastAsia="en-US"/>
        </w:rPr>
      </w:pPr>
      <w:r w:rsidRPr="001844E7">
        <w:rPr>
          <w:rFonts w:eastAsia="Calibri" w:cs="Arial"/>
          <w:b/>
          <w:color w:val="auto"/>
          <w:lang w:eastAsia="en-US"/>
        </w:rPr>
        <w:t xml:space="preserve">Legal </w:t>
      </w:r>
    </w:p>
    <w:p w:rsidR="00E044C0" w:rsidRPr="001844E7" w:rsidRDefault="00E044C0" w:rsidP="005C0F02">
      <w:pPr>
        <w:pStyle w:val="ListParagraph"/>
        <w:numPr>
          <w:ilvl w:val="0"/>
          <w:numId w:val="0"/>
        </w:numPr>
        <w:ind w:left="426"/>
        <w:rPr>
          <w:rFonts w:eastAsia="Calibri" w:cs="Arial"/>
          <w:color w:val="auto"/>
          <w:lang w:eastAsia="en-US"/>
        </w:rPr>
      </w:pPr>
    </w:p>
    <w:p w:rsidR="00E044C0" w:rsidRDefault="00084371" w:rsidP="00084371">
      <w:pPr>
        <w:pStyle w:val="ListParagraph"/>
        <w:numPr>
          <w:ilvl w:val="0"/>
          <w:numId w:val="34"/>
        </w:numPr>
        <w:spacing w:after="0"/>
        <w:contextualSpacing/>
        <w:rPr>
          <w:rFonts w:eastAsia="Calibri" w:cs="Arial"/>
          <w:color w:val="auto"/>
          <w:lang w:eastAsia="en-US"/>
        </w:rPr>
      </w:pPr>
      <w:r w:rsidRPr="001844E7">
        <w:rPr>
          <w:rFonts w:eastAsia="Calibri" w:cs="Arial"/>
          <w:color w:val="auto"/>
          <w:lang w:eastAsia="en-US"/>
        </w:rPr>
        <w:t xml:space="preserve">Section 101 of the Local Government Act 1972 and Section 9EA of the Local Government Act 2000 permits the </w:t>
      </w:r>
      <w:r w:rsidR="00317589" w:rsidRPr="001844E7">
        <w:rPr>
          <w:rFonts w:eastAsia="Calibri" w:cs="Arial"/>
          <w:color w:val="auto"/>
          <w:lang w:eastAsia="en-US"/>
        </w:rPr>
        <w:t xml:space="preserve">County Council to </w:t>
      </w:r>
      <w:r w:rsidRPr="001844E7">
        <w:rPr>
          <w:rFonts w:eastAsia="Calibri" w:cs="Arial"/>
          <w:color w:val="auto"/>
          <w:lang w:eastAsia="en-US"/>
        </w:rPr>
        <w:t xml:space="preserve">delegate powers to </w:t>
      </w:r>
      <w:r w:rsidR="00317589" w:rsidRPr="001844E7">
        <w:rPr>
          <w:rFonts w:eastAsia="Calibri" w:cs="Arial"/>
          <w:color w:val="auto"/>
          <w:lang w:eastAsia="en-US"/>
        </w:rPr>
        <w:t xml:space="preserve">the City Council to discharge </w:t>
      </w:r>
      <w:r w:rsidR="00F513D1">
        <w:rPr>
          <w:rFonts w:eastAsia="Calibri" w:cs="Arial"/>
          <w:color w:val="auto"/>
          <w:lang w:eastAsia="en-US"/>
        </w:rPr>
        <w:t>certain f</w:t>
      </w:r>
      <w:r w:rsidR="00317589" w:rsidRPr="001844E7">
        <w:rPr>
          <w:rFonts w:eastAsia="Calibri" w:cs="Arial"/>
          <w:color w:val="auto"/>
          <w:lang w:eastAsia="en-US"/>
        </w:rPr>
        <w:t>unctions</w:t>
      </w:r>
      <w:r w:rsidR="00F513D1">
        <w:rPr>
          <w:rFonts w:eastAsia="Calibri" w:cs="Arial"/>
          <w:color w:val="auto"/>
          <w:lang w:eastAsia="en-US"/>
        </w:rPr>
        <w:t xml:space="preserve">, and this will be the authority relied upon in the agreement between the two Councils. </w:t>
      </w:r>
      <w:r w:rsidR="00317589" w:rsidRPr="001844E7">
        <w:rPr>
          <w:rFonts w:eastAsia="Calibri" w:cs="Arial"/>
          <w:color w:val="auto"/>
          <w:lang w:eastAsia="en-US"/>
        </w:rPr>
        <w:t xml:space="preserve"> </w:t>
      </w:r>
      <w:r w:rsidR="00F513D1">
        <w:rPr>
          <w:rFonts w:eastAsia="Calibri" w:cs="Arial"/>
          <w:color w:val="auto"/>
          <w:lang w:eastAsia="en-US"/>
        </w:rPr>
        <w:t xml:space="preserve">The two P&amp;R Sites involved in the delegation will be subject </w:t>
      </w:r>
      <w:r w:rsidR="001C3D47">
        <w:rPr>
          <w:rFonts w:eastAsia="Calibri" w:cs="Arial"/>
          <w:color w:val="auto"/>
          <w:lang w:eastAsia="en-US"/>
        </w:rPr>
        <w:t xml:space="preserve">to </w:t>
      </w:r>
      <w:r w:rsidR="001C3D47" w:rsidRPr="001844E7">
        <w:rPr>
          <w:rFonts w:eastAsia="Calibri" w:cs="Arial"/>
          <w:color w:val="auto"/>
          <w:lang w:eastAsia="en-US"/>
        </w:rPr>
        <w:t>the</w:t>
      </w:r>
      <w:r w:rsidR="00317589" w:rsidRPr="001844E7">
        <w:rPr>
          <w:rFonts w:eastAsia="Calibri" w:cs="Arial"/>
          <w:color w:val="auto"/>
          <w:lang w:eastAsia="en-US"/>
        </w:rPr>
        <w:t xml:space="preserve"> Oxfordshire County Council (Park and Ride Parking Places – Thornhill and Water</w:t>
      </w:r>
      <w:r w:rsidR="00E412B6" w:rsidRPr="001844E7">
        <w:rPr>
          <w:rFonts w:eastAsia="Calibri" w:cs="Arial"/>
          <w:color w:val="auto"/>
          <w:lang w:eastAsia="en-US"/>
        </w:rPr>
        <w:t xml:space="preserve"> Eaton</w:t>
      </w:r>
      <w:r w:rsidR="00317589" w:rsidRPr="001844E7">
        <w:rPr>
          <w:rFonts w:eastAsia="Calibri" w:cs="Arial"/>
          <w:color w:val="auto"/>
          <w:lang w:eastAsia="en-US"/>
        </w:rPr>
        <w:t>) Order 2012 as amended</w:t>
      </w:r>
      <w:r w:rsidR="00F513D1">
        <w:rPr>
          <w:rFonts w:eastAsia="Calibri" w:cs="Arial"/>
          <w:color w:val="auto"/>
          <w:lang w:eastAsia="en-US"/>
        </w:rPr>
        <w:t xml:space="preserve">. </w:t>
      </w:r>
      <w:r w:rsidR="00317589" w:rsidRPr="001844E7">
        <w:rPr>
          <w:rFonts w:eastAsia="Calibri" w:cs="Arial"/>
          <w:color w:val="auto"/>
          <w:lang w:eastAsia="en-US"/>
        </w:rPr>
        <w:t xml:space="preserve"> </w:t>
      </w:r>
      <w:r w:rsidR="00F513D1">
        <w:rPr>
          <w:rFonts w:eastAsia="Calibri" w:cs="Arial"/>
          <w:color w:val="auto"/>
          <w:lang w:eastAsia="en-US"/>
        </w:rPr>
        <w:t xml:space="preserve"> The City Council may make a direct award of this work to its “</w:t>
      </w:r>
      <w:proofErr w:type="spellStart"/>
      <w:r w:rsidR="00F513D1">
        <w:rPr>
          <w:rFonts w:eastAsia="Calibri" w:cs="Arial"/>
          <w:color w:val="auto"/>
          <w:lang w:eastAsia="en-US"/>
        </w:rPr>
        <w:t>Teckal</w:t>
      </w:r>
      <w:proofErr w:type="spellEnd"/>
      <w:r w:rsidR="00F513D1">
        <w:rPr>
          <w:rFonts w:eastAsia="Calibri" w:cs="Arial"/>
          <w:color w:val="auto"/>
          <w:lang w:eastAsia="en-US"/>
        </w:rPr>
        <w:t>” subsidiary ODSL without undertaking a competitive selection process.</w:t>
      </w:r>
    </w:p>
    <w:p w:rsidR="00022B46" w:rsidRDefault="00022B46" w:rsidP="00022B46">
      <w:pPr>
        <w:pStyle w:val="ListParagraph"/>
        <w:numPr>
          <w:ilvl w:val="0"/>
          <w:numId w:val="0"/>
        </w:numPr>
        <w:spacing w:after="0"/>
        <w:ind w:left="720"/>
        <w:contextualSpacing/>
        <w:rPr>
          <w:rFonts w:eastAsia="Calibri" w:cs="Arial"/>
          <w:color w:val="auto"/>
          <w:lang w:eastAsia="en-US"/>
        </w:rPr>
      </w:pPr>
    </w:p>
    <w:p w:rsidR="00022B46" w:rsidRDefault="00022B46" w:rsidP="00084371">
      <w:pPr>
        <w:pStyle w:val="ListParagraph"/>
        <w:numPr>
          <w:ilvl w:val="0"/>
          <w:numId w:val="34"/>
        </w:numPr>
        <w:spacing w:after="0"/>
        <w:contextualSpacing/>
        <w:rPr>
          <w:rFonts w:eastAsia="Calibri" w:cs="Arial"/>
          <w:color w:val="auto"/>
          <w:lang w:eastAsia="en-US"/>
        </w:rPr>
      </w:pPr>
      <w:r>
        <w:rPr>
          <w:rFonts w:eastAsia="Calibri" w:cs="Arial"/>
          <w:color w:val="auto"/>
          <w:lang w:eastAsia="en-US"/>
        </w:rPr>
        <w:t xml:space="preserve">The City Council is </w:t>
      </w:r>
      <w:r w:rsidR="00F513D1">
        <w:rPr>
          <w:rFonts w:eastAsia="Calibri" w:cs="Arial"/>
          <w:color w:val="auto"/>
          <w:lang w:eastAsia="en-US"/>
        </w:rPr>
        <w:t xml:space="preserve">currently </w:t>
      </w:r>
      <w:r>
        <w:rPr>
          <w:rFonts w:eastAsia="Calibri" w:cs="Arial"/>
          <w:color w:val="auto"/>
          <w:lang w:eastAsia="en-US"/>
        </w:rPr>
        <w:t xml:space="preserve">considering the most appropriate </w:t>
      </w:r>
      <w:r w:rsidR="00F513D1">
        <w:rPr>
          <w:rFonts w:eastAsia="Calibri" w:cs="Arial"/>
          <w:color w:val="auto"/>
          <w:lang w:eastAsia="en-US"/>
        </w:rPr>
        <w:t xml:space="preserve">and effective </w:t>
      </w:r>
      <w:r>
        <w:rPr>
          <w:rFonts w:eastAsia="Calibri" w:cs="Arial"/>
          <w:color w:val="auto"/>
          <w:lang w:eastAsia="en-US"/>
        </w:rPr>
        <w:t xml:space="preserve">way to </w:t>
      </w:r>
      <w:r w:rsidR="00F513D1">
        <w:rPr>
          <w:rFonts w:eastAsia="Calibri" w:cs="Arial"/>
          <w:color w:val="auto"/>
          <w:lang w:eastAsia="en-US"/>
        </w:rPr>
        <w:t xml:space="preserve">ensure that the County Council’s enforcement powers are properly </w:t>
      </w:r>
      <w:proofErr w:type="gramStart"/>
      <w:r>
        <w:rPr>
          <w:rFonts w:eastAsia="Calibri" w:cs="Arial"/>
          <w:color w:val="auto"/>
          <w:lang w:eastAsia="en-US"/>
        </w:rPr>
        <w:t>delegate</w:t>
      </w:r>
      <w:r w:rsidR="00F513D1">
        <w:rPr>
          <w:rFonts w:eastAsia="Calibri" w:cs="Arial"/>
          <w:color w:val="auto"/>
          <w:lang w:eastAsia="en-US"/>
        </w:rPr>
        <w:t>d</w:t>
      </w:r>
      <w:r>
        <w:rPr>
          <w:rFonts w:eastAsia="Calibri" w:cs="Arial"/>
          <w:color w:val="auto"/>
          <w:lang w:eastAsia="en-US"/>
        </w:rPr>
        <w:t xml:space="preserve">  to</w:t>
      </w:r>
      <w:proofErr w:type="gramEnd"/>
      <w:r>
        <w:rPr>
          <w:rFonts w:eastAsia="Calibri" w:cs="Arial"/>
          <w:color w:val="auto"/>
          <w:lang w:eastAsia="en-US"/>
        </w:rPr>
        <w:t xml:space="preserve"> enable Excess Charge Notice</w:t>
      </w:r>
      <w:r w:rsidR="00F513D1">
        <w:rPr>
          <w:rFonts w:eastAsia="Calibri" w:cs="Arial"/>
          <w:color w:val="auto"/>
          <w:lang w:eastAsia="en-US"/>
        </w:rPr>
        <w:t>s</w:t>
      </w:r>
      <w:r>
        <w:rPr>
          <w:rFonts w:eastAsia="Calibri" w:cs="Arial"/>
          <w:color w:val="auto"/>
          <w:lang w:eastAsia="en-US"/>
        </w:rPr>
        <w:t xml:space="preserve"> to be issued</w:t>
      </w:r>
      <w:r w:rsidR="00F513D1">
        <w:rPr>
          <w:rFonts w:eastAsia="Calibri" w:cs="Arial"/>
          <w:color w:val="auto"/>
          <w:lang w:eastAsia="en-US"/>
        </w:rPr>
        <w:t xml:space="preserve"> to defaulting car park users</w:t>
      </w:r>
      <w:r>
        <w:rPr>
          <w:rFonts w:eastAsia="Calibri" w:cs="Arial"/>
          <w:color w:val="auto"/>
          <w:lang w:eastAsia="en-US"/>
        </w:rPr>
        <w:t>.</w:t>
      </w:r>
    </w:p>
    <w:p w:rsidR="00022B46" w:rsidRPr="00022B46" w:rsidRDefault="00022B46" w:rsidP="00022B46">
      <w:pPr>
        <w:pStyle w:val="ListParagraph"/>
        <w:numPr>
          <w:ilvl w:val="0"/>
          <w:numId w:val="0"/>
        </w:numPr>
        <w:ind w:left="426"/>
        <w:rPr>
          <w:rFonts w:eastAsia="Calibri" w:cs="Arial"/>
          <w:color w:val="auto"/>
          <w:lang w:eastAsia="en-US"/>
        </w:rPr>
      </w:pPr>
    </w:p>
    <w:p w:rsidR="00022B46" w:rsidRPr="001844E7" w:rsidRDefault="00022B46" w:rsidP="00084371">
      <w:pPr>
        <w:pStyle w:val="ListParagraph"/>
        <w:numPr>
          <w:ilvl w:val="0"/>
          <w:numId w:val="34"/>
        </w:numPr>
        <w:spacing w:after="0"/>
        <w:contextualSpacing/>
        <w:rPr>
          <w:rFonts w:eastAsia="Calibri" w:cs="Arial"/>
          <w:color w:val="auto"/>
          <w:lang w:eastAsia="en-US"/>
        </w:rPr>
      </w:pPr>
      <w:r>
        <w:rPr>
          <w:rFonts w:eastAsia="Calibri" w:cs="Arial"/>
          <w:color w:val="auto"/>
          <w:lang w:eastAsia="en-US"/>
        </w:rPr>
        <w:t xml:space="preserve"> There </w:t>
      </w:r>
      <w:r w:rsidR="00C463F6">
        <w:rPr>
          <w:rFonts w:eastAsia="Calibri" w:cs="Arial"/>
          <w:color w:val="auto"/>
          <w:lang w:eastAsia="en-US"/>
        </w:rPr>
        <w:t>is</w:t>
      </w:r>
      <w:r>
        <w:rPr>
          <w:rFonts w:eastAsia="Calibri" w:cs="Arial"/>
          <w:color w:val="auto"/>
          <w:lang w:eastAsia="en-US"/>
        </w:rPr>
        <w:t xml:space="preserve"> a possibility that during the course of </w:t>
      </w:r>
      <w:r w:rsidR="00F513D1">
        <w:rPr>
          <w:rFonts w:eastAsia="Calibri" w:cs="Arial"/>
          <w:color w:val="auto"/>
          <w:lang w:eastAsia="en-US"/>
        </w:rPr>
        <w:t>any staff</w:t>
      </w:r>
      <w:r w:rsidR="00C463F6">
        <w:rPr>
          <w:rFonts w:eastAsia="Calibri" w:cs="Arial"/>
          <w:color w:val="auto"/>
          <w:lang w:eastAsia="en-US"/>
        </w:rPr>
        <w:t xml:space="preserve"> </w:t>
      </w:r>
      <w:r>
        <w:rPr>
          <w:rFonts w:eastAsia="Calibri" w:cs="Arial"/>
          <w:color w:val="auto"/>
          <w:lang w:eastAsia="en-US"/>
        </w:rPr>
        <w:t xml:space="preserve">transfer </w:t>
      </w:r>
      <w:r w:rsidR="00C463F6">
        <w:rPr>
          <w:rFonts w:eastAsia="Calibri" w:cs="Arial"/>
          <w:color w:val="auto"/>
          <w:lang w:eastAsia="en-US"/>
        </w:rPr>
        <w:t>to which</w:t>
      </w:r>
      <w:r w:rsidR="00F513D1">
        <w:rPr>
          <w:rFonts w:eastAsia="Calibri" w:cs="Arial"/>
          <w:color w:val="auto"/>
          <w:lang w:eastAsia="en-US"/>
        </w:rPr>
        <w:t xml:space="preserve"> the TUPE provisions</w:t>
      </w:r>
      <w:r w:rsidR="00C463F6">
        <w:rPr>
          <w:rFonts w:eastAsia="Calibri" w:cs="Arial"/>
          <w:color w:val="auto"/>
          <w:lang w:eastAsia="en-US"/>
        </w:rPr>
        <w:t xml:space="preserve"> apply</w:t>
      </w:r>
      <w:r w:rsidR="00F513D1">
        <w:rPr>
          <w:rFonts w:eastAsia="Calibri" w:cs="Arial"/>
          <w:color w:val="auto"/>
          <w:lang w:eastAsia="en-US"/>
        </w:rPr>
        <w:t xml:space="preserve">, </w:t>
      </w:r>
      <w:r>
        <w:rPr>
          <w:rFonts w:eastAsia="Calibri" w:cs="Arial"/>
          <w:color w:val="auto"/>
          <w:lang w:eastAsia="en-US"/>
        </w:rPr>
        <w:t>the City Council</w:t>
      </w:r>
      <w:r w:rsidR="00C463F6">
        <w:rPr>
          <w:rFonts w:eastAsia="Calibri" w:cs="Arial"/>
          <w:color w:val="auto"/>
          <w:lang w:eastAsia="en-US"/>
        </w:rPr>
        <w:t xml:space="preserve">/ODSL </w:t>
      </w:r>
      <w:proofErr w:type="gramStart"/>
      <w:r w:rsidR="00C463F6">
        <w:rPr>
          <w:rFonts w:eastAsia="Calibri" w:cs="Arial"/>
          <w:color w:val="auto"/>
          <w:lang w:eastAsia="en-US"/>
        </w:rPr>
        <w:t xml:space="preserve">will </w:t>
      </w:r>
      <w:r>
        <w:rPr>
          <w:rFonts w:eastAsia="Calibri" w:cs="Arial"/>
          <w:color w:val="auto"/>
          <w:lang w:eastAsia="en-US"/>
        </w:rPr>
        <w:t xml:space="preserve"> </w:t>
      </w:r>
      <w:r w:rsidR="00C463F6">
        <w:rPr>
          <w:rFonts w:eastAsia="Calibri" w:cs="Arial"/>
          <w:color w:val="auto"/>
          <w:lang w:eastAsia="en-US"/>
        </w:rPr>
        <w:t>seek</w:t>
      </w:r>
      <w:proofErr w:type="gramEnd"/>
      <w:r w:rsidR="00C463F6">
        <w:rPr>
          <w:rFonts w:eastAsia="Calibri" w:cs="Arial"/>
          <w:color w:val="auto"/>
          <w:lang w:eastAsia="en-US"/>
        </w:rPr>
        <w:t xml:space="preserve"> to</w:t>
      </w:r>
      <w:r>
        <w:rPr>
          <w:rFonts w:eastAsia="Calibri" w:cs="Arial"/>
          <w:color w:val="auto"/>
          <w:lang w:eastAsia="en-US"/>
        </w:rPr>
        <w:t xml:space="preserve">  appl</w:t>
      </w:r>
      <w:r w:rsidR="00C463F6">
        <w:rPr>
          <w:rFonts w:eastAsia="Calibri" w:cs="Arial"/>
          <w:color w:val="auto"/>
          <w:lang w:eastAsia="en-US"/>
        </w:rPr>
        <w:t>y</w:t>
      </w:r>
      <w:r>
        <w:rPr>
          <w:rFonts w:eastAsia="Calibri" w:cs="Arial"/>
          <w:color w:val="auto"/>
          <w:lang w:eastAsia="en-US"/>
        </w:rPr>
        <w:t xml:space="preserve"> measures</w:t>
      </w:r>
      <w:r w:rsidR="00C463F6">
        <w:rPr>
          <w:rFonts w:eastAsia="Calibri" w:cs="Arial"/>
          <w:color w:val="auto"/>
          <w:lang w:eastAsia="en-US"/>
        </w:rPr>
        <w:t>, to ensure the efficiency of the P&amp;R operation</w:t>
      </w:r>
      <w:r>
        <w:rPr>
          <w:rFonts w:eastAsia="Calibri" w:cs="Arial"/>
          <w:color w:val="auto"/>
          <w:lang w:eastAsia="en-US"/>
        </w:rPr>
        <w:t>.</w:t>
      </w:r>
    </w:p>
    <w:p w:rsidR="00084371" w:rsidRPr="001844E7" w:rsidRDefault="00084371" w:rsidP="00084371">
      <w:pPr>
        <w:pStyle w:val="ListParagraph"/>
        <w:numPr>
          <w:ilvl w:val="0"/>
          <w:numId w:val="0"/>
        </w:numPr>
        <w:spacing w:after="0"/>
        <w:ind w:left="720"/>
        <w:contextualSpacing/>
        <w:rPr>
          <w:rFonts w:eastAsia="Calibri" w:cs="Arial"/>
          <w:color w:val="auto"/>
          <w:lang w:eastAsia="en-US"/>
        </w:rPr>
      </w:pPr>
    </w:p>
    <w:p w:rsidR="006D506D" w:rsidRPr="001844E7" w:rsidRDefault="006D506D" w:rsidP="006D506D">
      <w:pPr>
        <w:pStyle w:val="ListParagraph"/>
        <w:numPr>
          <w:ilvl w:val="0"/>
          <w:numId w:val="0"/>
        </w:numPr>
        <w:ind w:left="426"/>
        <w:rPr>
          <w:rFonts w:eastAsia="Calibri" w:cs="Arial"/>
          <w:color w:val="auto"/>
          <w:lang w:eastAsia="en-US"/>
        </w:rPr>
      </w:pPr>
    </w:p>
    <w:p w:rsidR="006D506D" w:rsidRPr="001844E7" w:rsidRDefault="006D506D" w:rsidP="006D506D">
      <w:pPr>
        <w:spacing w:after="0"/>
        <w:contextualSpacing/>
        <w:rPr>
          <w:rFonts w:eastAsia="Calibri" w:cs="Arial"/>
          <w:b/>
          <w:color w:val="auto"/>
          <w:lang w:eastAsia="en-US"/>
        </w:rPr>
      </w:pPr>
      <w:r w:rsidRPr="001844E7">
        <w:rPr>
          <w:rFonts w:eastAsia="Calibri" w:cs="Arial"/>
          <w:b/>
          <w:color w:val="auto"/>
          <w:lang w:eastAsia="en-US"/>
        </w:rPr>
        <w:t xml:space="preserve">Level of risk </w:t>
      </w:r>
    </w:p>
    <w:p w:rsidR="007C2114" w:rsidRPr="001844E7" w:rsidRDefault="007C2114" w:rsidP="007C2114">
      <w:pPr>
        <w:rPr>
          <w:rFonts w:eastAsia="Calibri" w:cs="Arial"/>
          <w:color w:val="auto"/>
          <w:lang w:eastAsia="en-US"/>
        </w:rPr>
      </w:pPr>
    </w:p>
    <w:p w:rsidR="00FE25D4" w:rsidRPr="001844E7" w:rsidRDefault="006D506D" w:rsidP="006D506D">
      <w:pPr>
        <w:pStyle w:val="ListParagraph"/>
        <w:numPr>
          <w:ilvl w:val="0"/>
          <w:numId w:val="34"/>
        </w:numPr>
        <w:rPr>
          <w:rFonts w:eastAsia="Calibri" w:cs="Arial"/>
          <w:color w:val="auto"/>
          <w:lang w:eastAsia="en-US"/>
        </w:rPr>
      </w:pPr>
      <w:r w:rsidRPr="001844E7">
        <w:rPr>
          <w:rFonts w:eastAsia="Calibri" w:cs="Arial"/>
          <w:color w:val="auto"/>
          <w:lang w:eastAsia="en-US"/>
        </w:rPr>
        <w:t xml:space="preserve">The City Council has a significant and successful track record in providing </w:t>
      </w:r>
      <w:r w:rsidR="00FE25D4" w:rsidRPr="001844E7">
        <w:rPr>
          <w:rFonts w:eastAsia="Calibri" w:cs="Arial"/>
          <w:color w:val="auto"/>
          <w:lang w:eastAsia="en-US"/>
        </w:rPr>
        <w:t>Park &amp; Ride car parks in Oxford</w:t>
      </w:r>
      <w:r w:rsidRPr="001844E7">
        <w:rPr>
          <w:rFonts w:eastAsia="Calibri" w:cs="Arial"/>
          <w:color w:val="auto"/>
          <w:lang w:eastAsia="en-US"/>
        </w:rPr>
        <w:t>. This experience has helped formulate a successful policy which encourages visitors whilst reducing congestion.</w:t>
      </w:r>
    </w:p>
    <w:p w:rsidR="00FE25D4" w:rsidRPr="001844E7" w:rsidRDefault="00FE25D4" w:rsidP="00FE25D4">
      <w:pPr>
        <w:pStyle w:val="ListParagraph"/>
        <w:numPr>
          <w:ilvl w:val="0"/>
          <w:numId w:val="0"/>
        </w:numPr>
        <w:ind w:left="720"/>
        <w:rPr>
          <w:rFonts w:eastAsia="Calibri" w:cs="Arial"/>
          <w:color w:val="auto"/>
          <w:lang w:eastAsia="en-US"/>
        </w:rPr>
      </w:pPr>
    </w:p>
    <w:p w:rsidR="00FE25D4" w:rsidRPr="001844E7" w:rsidRDefault="00FE25D4" w:rsidP="006D506D">
      <w:pPr>
        <w:pStyle w:val="ListParagraph"/>
        <w:numPr>
          <w:ilvl w:val="0"/>
          <w:numId w:val="34"/>
        </w:numPr>
        <w:rPr>
          <w:rFonts w:eastAsia="Calibri" w:cs="Arial"/>
          <w:color w:val="auto"/>
          <w:lang w:eastAsia="en-US"/>
        </w:rPr>
      </w:pPr>
      <w:r w:rsidRPr="001844E7">
        <w:rPr>
          <w:rFonts w:eastAsia="Calibri" w:cs="Arial"/>
          <w:color w:val="auto"/>
          <w:lang w:eastAsia="en-US"/>
        </w:rPr>
        <w:t>ODS</w:t>
      </w:r>
      <w:r w:rsidR="00C463F6">
        <w:rPr>
          <w:rFonts w:eastAsia="Calibri" w:cs="Arial"/>
          <w:color w:val="auto"/>
          <w:lang w:eastAsia="en-US"/>
        </w:rPr>
        <w:t>L</w:t>
      </w:r>
      <w:r w:rsidRPr="001844E7">
        <w:rPr>
          <w:rFonts w:eastAsia="Calibri" w:cs="Arial"/>
          <w:color w:val="auto"/>
          <w:lang w:eastAsia="en-US"/>
        </w:rPr>
        <w:t xml:space="preserve"> will look to </w:t>
      </w:r>
      <w:r w:rsidR="00AB515B">
        <w:rPr>
          <w:rFonts w:eastAsia="Calibri" w:cs="Arial"/>
          <w:color w:val="auto"/>
          <w:lang w:eastAsia="en-US"/>
        </w:rPr>
        <w:t>enhance</w:t>
      </w:r>
      <w:r w:rsidRPr="001844E7">
        <w:rPr>
          <w:rFonts w:eastAsia="Calibri" w:cs="Arial"/>
          <w:color w:val="auto"/>
          <w:lang w:eastAsia="en-US"/>
        </w:rPr>
        <w:t xml:space="preserve"> the County’s service and will introduce pay by phone </w:t>
      </w:r>
      <w:r w:rsidR="00C745F8" w:rsidRPr="001844E7">
        <w:rPr>
          <w:rFonts w:eastAsia="Calibri" w:cs="Arial"/>
          <w:color w:val="auto"/>
          <w:lang w:eastAsia="en-US"/>
        </w:rPr>
        <w:t xml:space="preserve">provided by RingGo once the contract commences. </w:t>
      </w:r>
    </w:p>
    <w:p w:rsidR="006D506D" w:rsidRPr="001844E7" w:rsidRDefault="006D506D" w:rsidP="00FE25D4">
      <w:pPr>
        <w:pStyle w:val="ListParagraph"/>
        <w:numPr>
          <w:ilvl w:val="0"/>
          <w:numId w:val="0"/>
        </w:numPr>
        <w:ind w:left="720"/>
        <w:rPr>
          <w:rFonts w:eastAsia="Calibri" w:cs="Arial"/>
          <w:color w:val="auto"/>
          <w:lang w:eastAsia="en-US"/>
        </w:rPr>
      </w:pPr>
      <w:r w:rsidRPr="001844E7">
        <w:rPr>
          <w:rFonts w:eastAsia="Calibri" w:cs="Arial"/>
          <w:color w:val="auto"/>
          <w:lang w:eastAsia="en-US"/>
        </w:rPr>
        <w:t xml:space="preserve">  </w:t>
      </w:r>
    </w:p>
    <w:p w:rsidR="00C745F8" w:rsidRPr="001844E7" w:rsidRDefault="00FE25D4" w:rsidP="00FE25D4">
      <w:pPr>
        <w:pStyle w:val="ListParagraph"/>
        <w:numPr>
          <w:ilvl w:val="0"/>
          <w:numId w:val="34"/>
        </w:numPr>
        <w:rPr>
          <w:rFonts w:eastAsia="Calibri" w:cs="Arial"/>
          <w:color w:val="auto"/>
          <w:lang w:eastAsia="en-US"/>
        </w:rPr>
      </w:pPr>
      <w:r w:rsidRPr="001844E7">
        <w:rPr>
          <w:rFonts w:eastAsia="Calibri" w:cs="Arial"/>
          <w:color w:val="auto"/>
          <w:lang w:eastAsia="en-US"/>
        </w:rPr>
        <w:t xml:space="preserve">Failure to implement a cohesive parking policy across all </w:t>
      </w:r>
      <w:r w:rsidR="00C745F8" w:rsidRPr="001844E7">
        <w:rPr>
          <w:rFonts w:eastAsia="Calibri" w:cs="Arial"/>
          <w:color w:val="auto"/>
          <w:lang w:eastAsia="en-US"/>
        </w:rPr>
        <w:t xml:space="preserve">Park &amp; Ride </w:t>
      </w:r>
      <w:r w:rsidRPr="001844E7">
        <w:rPr>
          <w:rFonts w:eastAsia="Calibri" w:cs="Arial"/>
          <w:color w:val="auto"/>
          <w:lang w:eastAsia="en-US"/>
        </w:rPr>
        <w:t xml:space="preserve">sites </w:t>
      </w:r>
      <w:r w:rsidR="00E412B6" w:rsidRPr="001844E7">
        <w:rPr>
          <w:rFonts w:eastAsia="Calibri" w:cs="Arial"/>
          <w:color w:val="auto"/>
          <w:lang w:eastAsia="en-US"/>
        </w:rPr>
        <w:t xml:space="preserve">could result in customer confusion and dissatisfaction. </w:t>
      </w:r>
    </w:p>
    <w:p w:rsidR="006D506D" w:rsidRPr="001844E7" w:rsidRDefault="006D506D" w:rsidP="006D506D">
      <w:pPr>
        <w:spacing w:after="0"/>
        <w:contextualSpacing/>
        <w:rPr>
          <w:rFonts w:eastAsia="Calibri" w:cs="Arial"/>
          <w:color w:val="auto"/>
          <w:lang w:eastAsia="en-US"/>
        </w:rPr>
      </w:pPr>
    </w:p>
    <w:p w:rsidR="006D506D" w:rsidRPr="001844E7" w:rsidRDefault="006D506D" w:rsidP="006D506D">
      <w:pPr>
        <w:spacing w:after="0"/>
        <w:contextualSpacing/>
        <w:rPr>
          <w:rFonts w:eastAsia="Calibri" w:cs="Arial"/>
          <w:b/>
          <w:color w:val="auto"/>
          <w:lang w:eastAsia="en-US"/>
        </w:rPr>
      </w:pPr>
      <w:r w:rsidRPr="001844E7">
        <w:rPr>
          <w:rFonts w:eastAsia="Calibri" w:cs="Arial"/>
          <w:b/>
          <w:color w:val="auto"/>
          <w:lang w:eastAsia="en-US"/>
        </w:rPr>
        <w:t xml:space="preserve">Conclusion </w:t>
      </w:r>
    </w:p>
    <w:p w:rsidR="006D506D" w:rsidRPr="001844E7" w:rsidRDefault="006D506D" w:rsidP="006D506D">
      <w:pPr>
        <w:pStyle w:val="ListParagraph"/>
        <w:numPr>
          <w:ilvl w:val="0"/>
          <w:numId w:val="0"/>
        </w:numPr>
        <w:spacing w:after="0"/>
        <w:ind w:left="720"/>
        <w:contextualSpacing/>
        <w:rPr>
          <w:rFonts w:eastAsia="Calibri" w:cs="Arial"/>
          <w:color w:val="auto"/>
          <w:lang w:eastAsia="en-US"/>
        </w:rPr>
      </w:pPr>
    </w:p>
    <w:p w:rsidR="002770D9" w:rsidRPr="001844E7" w:rsidRDefault="002770D9" w:rsidP="002770D9">
      <w:pPr>
        <w:pStyle w:val="ListParagraph"/>
        <w:numPr>
          <w:ilvl w:val="0"/>
          <w:numId w:val="34"/>
        </w:numPr>
        <w:rPr>
          <w:rFonts w:eastAsia="Calibri" w:cs="Arial"/>
          <w:color w:val="auto"/>
          <w:lang w:eastAsia="en-US"/>
        </w:rPr>
      </w:pPr>
      <w:r w:rsidRPr="001844E7">
        <w:rPr>
          <w:rFonts w:eastAsia="Calibri" w:cs="Arial"/>
          <w:color w:val="auto"/>
          <w:lang w:eastAsia="en-US"/>
        </w:rPr>
        <w:t xml:space="preserve">This proposal will ensure that the Park &amp; Ride service is </w:t>
      </w:r>
      <w:r w:rsidR="00B55269" w:rsidRPr="001844E7">
        <w:rPr>
          <w:rFonts w:eastAsia="Calibri" w:cs="Arial"/>
          <w:color w:val="auto"/>
          <w:lang w:eastAsia="en-US"/>
        </w:rPr>
        <w:t xml:space="preserve">managed as a single entity that should further enhance the service offered to customers. </w:t>
      </w:r>
    </w:p>
    <w:p w:rsidR="006D506D" w:rsidRDefault="006D506D" w:rsidP="00E206D6">
      <w:pPr>
        <w:pStyle w:val="ListParagraph"/>
        <w:numPr>
          <w:ilvl w:val="0"/>
          <w:numId w:val="0"/>
        </w:numPr>
        <w:ind w:left="426"/>
      </w:pPr>
    </w:p>
    <w:p w:rsidR="001C3D47" w:rsidRDefault="001C3D47" w:rsidP="00E206D6">
      <w:pPr>
        <w:pStyle w:val="ListParagraph"/>
        <w:numPr>
          <w:ilvl w:val="0"/>
          <w:numId w:val="0"/>
        </w:numPr>
        <w:ind w:left="426"/>
      </w:pPr>
    </w:p>
    <w:p w:rsidR="001C3D47" w:rsidRDefault="001C3D47" w:rsidP="00E206D6">
      <w:pPr>
        <w:pStyle w:val="ListParagraph"/>
        <w:numPr>
          <w:ilvl w:val="0"/>
          <w:numId w:val="0"/>
        </w:numPr>
        <w:ind w:left="426"/>
      </w:pPr>
    </w:p>
    <w:p w:rsidR="001C3D47" w:rsidRDefault="001C3D47" w:rsidP="00E206D6">
      <w:pPr>
        <w:pStyle w:val="ListParagraph"/>
        <w:numPr>
          <w:ilvl w:val="0"/>
          <w:numId w:val="0"/>
        </w:numPr>
        <w:ind w:left="426"/>
      </w:pPr>
    </w:p>
    <w:p w:rsidR="001C3D47" w:rsidRDefault="001C3D47" w:rsidP="00E206D6">
      <w:pPr>
        <w:pStyle w:val="ListParagraph"/>
        <w:numPr>
          <w:ilvl w:val="0"/>
          <w:numId w:val="0"/>
        </w:numPr>
        <w:ind w:left="426"/>
      </w:pPr>
    </w:p>
    <w:p w:rsidR="001C3D47" w:rsidRPr="001356F1" w:rsidRDefault="001C3D47"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AB515B" w:rsidP="00AB515B">
            <w:r w:rsidRPr="00AB515B">
              <w:t xml:space="preserve"> Jason Munro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CB7890" w:rsidP="001C3D47">
            <w:r w:rsidRPr="00CB7890">
              <w:t>Parking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18638C" w:rsidP="00A46E98">
            <w:r>
              <w:t xml:space="preserve">Oxford Direct Services </w:t>
            </w:r>
            <w:r w:rsidR="00AB515B">
              <w:t>Limited</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18638C" w:rsidP="00A46E98">
            <w:r>
              <w:t>01865 252489</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323575" w:rsidP="00A46E98">
            <w:pPr>
              <w:rPr>
                <w:rStyle w:val="Hyperlink"/>
                <w:color w:val="000000"/>
              </w:rPr>
            </w:pPr>
            <w:hyperlink r:id="rId9" w:history="1">
              <w:r w:rsidR="0018638C" w:rsidRPr="001D49CB">
                <w:rPr>
                  <w:rStyle w:val="Hyperlink"/>
                </w:rPr>
                <w:t>jmunro@oxford.gov.uk</w:t>
              </w:r>
            </w:hyperlink>
            <w:r w:rsidR="0018638C">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A7" w:rsidRDefault="00B45DA7" w:rsidP="004A6D2F">
      <w:r>
        <w:separator/>
      </w:r>
    </w:p>
  </w:endnote>
  <w:endnote w:type="continuationSeparator" w:id="0">
    <w:p w:rsidR="00B45DA7" w:rsidRDefault="00B45DA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rsidP="004A6D2F">
    <w:pPr>
      <w:pStyle w:val="Footer"/>
    </w:pPr>
    <w:r>
      <w:t>Do not use a footer or page numbers.</w:t>
    </w:r>
  </w:p>
  <w:p w:rsidR="00F513D1" w:rsidRDefault="00F513D1" w:rsidP="004A6D2F">
    <w:pPr>
      <w:pStyle w:val="Footer"/>
    </w:pPr>
  </w:p>
  <w:p w:rsidR="00F513D1" w:rsidRDefault="00F513D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A7" w:rsidRDefault="00B45DA7" w:rsidP="004A6D2F">
      <w:r>
        <w:separator/>
      </w:r>
    </w:p>
  </w:footnote>
  <w:footnote w:type="continuationSeparator" w:id="0">
    <w:p w:rsidR="00B45DA7" w:rsidRDefault="00B45DA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D1" w:rsidRDefault="00F513D1" w:rsidP="00D5547E">
    <w:pPr>
      <w:pStyle w:val="Header"/>
      <w:jc w:val="right"/>
    </w:pPr>
    <w:r>
      <w:rPr>
        <w:noProof/>
      </w:rPr>
      <w:drawing>
        <wp:inline distT="0" distB="0" distL="0" distR="0" wp14:anchorId="11733B8F" wp14:editId="0CC09440">
          <wp:extent cx="835025" cy="1121410"/>
          <wp:effectExtent l="0" t="0" r="3175"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721D"/>
    <w:multiLevelType w:val="hybridMultilevel"/>
    <w:tmpl w:val="3FEA3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2E"/>
    <w:rsid w:val="00003388"/>
    <w:rsid w:val="000117D4"/>
    <w:rsid w:val="00017D39"/>
    <w:rsid w:val="00022B46"/>
    <w:rsid w:val="000314D7"/>
    <w:rsid w:val="00045F8B"/>
    <w:rsid w:val="00046D2B"/>
    <w:rsid w:val="00056263"/>
    <w:rsid w:val="00064D8A"/>
    <w:rsid w:val="00064F82"/>
    <w:rsid w:val="00066510"/>
    <w:rsid w:val="000731E0"/>
    <w:rsid w:val="00077523"/>
    <w:rsid w:val="00084371"/>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44E7"/>
    <w:rsid w:val="0018619D"/>
    <w:rsid w:val="0018638C"/>
    <w:rsid w:val="001A011E"/>
    <w:rsid w:val="001A066A"/>
    <w:rsid w:val="001A13E6"/>
    <w:rsid w:val="001A5731"/>
    <w:rsid w:val="001B42C3"/>
    <w:rsid w:val="001C3D47"/>
    <w:rsid w:val="001C5D5E"/>
    <w:rsid w:val="001D678D"/>
    <w:rsid w:val="001E03F8"/>
    <w:rsid w:val="001E1678"/>
    <w:rsid w:val="001E3376"/>
    <w:rsid w:val="002069B3"/>
    <w:rsid w:val="00222C63"/>
    <w:rsid w:val="002329CF"/>
    <w:rsid w:val="00232F5B"/>
    <w:rsid w:val="00237D09"/>
    <w:rsid w:val="00247C29"/>
    <w:rsid w:val="00260467"/>
    <w:rsid w:val="00263C37"/>
    <w:rsid w:val="00263EA3"/>
    <w:rsid w:val="00271A8F"/>
    <w:rsid w:val="002770D9"/>
    <w:rsid w:val="00284F85"/>
    <w:rsid w:val="00290915"/>
    <w:rsid w:val="002A22E2"/>
    <w:rsid w:val="002B5977"/>
    <w:rsid w:val="002C64F7"/>
    <w:rsid w:val="002D3F47"/>
    <w:rsid w:val="002F41F2"/>
    <w:rsid w:val="00301BF3"/>
    <w:rsid w:val="0030208D"/>
    <w:rsid w:val="00317589"/>
    <w:rsid w:val="00323418"/>
    <w:rsid w:val="00323575"/>
    <w:rsid w:val="003357BF"/>
    <w:rsid w:val="00352094"/>
    <w:rsid w:val="00364FAD"/>
    <w:rsid w:val="0036738F"/>
    <w:rsid w:val="0036759C"/>
    <w:rsid w:val="00367AE5"/>
    <w:rsid w:val="00367D71"/>
    <w:rsid w:val="0038150A"/>
    <w:rsid w:val="003B6E75"/>
    <w:rsid w:val="003B7DA1"/>
    <w:rsid w:val="003D0379"/>
    <w:rsid w:val="003D2574"/>
    <w:rsid w:val="003D4C59"/>
    <w:rsid w:val="003F4267"/>
    <w:rsid w:val="003F5960"/>
    <w:rsid w:val="003F7E8D"/>
    <w:rsid w:val="00400098"/>
    <w:rsid w:val="00401575"/>
    <w:rsid w:val="00404032"/>
    <w:rsid w:val="0040736F"/>
    <w:rsid w:val="00412C1F"/>
    <w:rsid w:val="00421CB2"/>
    <w:rsid w:val="004268B9"/>
    <w:rsid w:val="00433B96"/>
    <w:rsid w:val="004440F1"/>
    <w:rsid w:val="004456DD"/>
    <w:rsid w:val="00446CDF"/>
    <w:rsid w:val="004521B7"/>
    <w:rsid w:val="00462AB5"/>
    <w:rsid w:val="00465EAF"/>
    <w:rsid w:val="004738C5"/>
    <w:rsid w:val="00474ACE"/>
    <w:rsid w:val="00475379"/>
    <w:rsid w:val="00491046"/>
    <w:rsid w:val="00493A16"/>
    <w:rsid w:val="004942C7"/>
    <w:rsid w:val="004A2AC7"/>
    <w:rsid w:val="004A6D2F"/>
    <w:rsid w:val="004B15F7"/>
    <w:rsid w:val="004C2887"/>
    <w:rsid w:val="004C7DB7"/>
    <w:rsid w:val="004D2626"/>
    <w:rsid w:val="004D6E26"/>
    <w:rsid w:val="004D77D3"/>
    <w:rsid w:val="004E2959"/>
    <w:rsid w:val="004F20EF"/>
    <w:rsid w:val="0050321C"/>
    <w:rsid w:val="00520DB2"/>
    <w:rsid w:val="0054712D"/>
    <w:rsid w:val="0054751E"/>
    <w:rsid w:val="00547EF6"/>
    <w:rsid w:val="005570B5"/>
    <w:rsid w:val="00567E18"/>
    <w:rsid w:val="00575F5F"/>
    <w:rsid w:val="00581805"/>
    <w:rsid w:val="00585F76"/>
    <w:rsid w:val="005A34E4"/>
    <w:rsid w:val="005B17F2"/>
    <w:rsid w:val="005B4038"/>
    <w:rsid w:val="005B7FB0"/>
    <w:rsid w:val="005C0F02"/>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A5A4B"/>
    <w:rsid w:val="006B3848"/>
    <w:rsid w:val="006C2A29"/>
    <w:rsid w:val="006C64CF"/>
    <w:rsid w:val="006D17B1"/>
    <w:rsid w:val="006D4752"/>
    <w:rsid w:val="006D506D"/>
    <w:rsid w:val="006D584B"/>
    <w:rsid w:val="006D708A"/>
    <w:rsid w:val="006E14C1"/>
    <w:rsid w:val="006E426A"/>
    <w:rsid w:val="006F0292"/>
    <w:rsid w:val="006F27FA"/>
    <w:rsid w:val="006F416B"/>
    <w:rsid w:val="006F4BE5"/>
    <w:rsid w:val="006F519B"/>
    <w:rsid w:val="007066A2"/>
    <w:rsid w:val="00713675"/>
    <w:rsid w:val="00715823"/>
    <w:rsid w:val="00737B93"/>
    <w:rsid w:val="007415AF"/>
    <w:rsid w:val="00745BF0"/>
    <w:rsid w:val="007615FE"/>
    <w:rsid w:val="0076655C"/>
    <w:rsid w:val="007742DC"/>
    <w:rsid w:val="00791437"/>
    <w:rsid w:val="007B0C2C"/>
    <w:rsid w:val="007B278E"/>
    <w:rsid w:val="007C2114"/>
    <w:rsid w:val="007C5C23"/>
    <w:rsid w:val="007E2A26"/>
    <w:rsid w:val="007F2348"/>
    <w:rsid w:val="00800D23"/>
    <w:rsid w:val="00803F07"/>
    <w:rsid w:val="0080749A"/>
    <w:rsid w:val="00821FB8"/>
    <w:rsid w:val="00822ACD"/>
    <w:rsid w:val="00855C66"/>
    <w:rsid w:val="00871EE4"/>
    <w:rsid w:val="008B293F"/>
    <w:rsid w:val="008B4DC5"/>
    <w:rsid w:val="008B7371"/>
    <w:rsid w:val="008C0751"/>
    <w:rsid w:val="008D3DDB"/>
    <w:rsid w:val="008E4471"/>
    <w:rsid w:val="008F573F"/>
    <w:rsid w:val="009034EC"/>
    <w:rsid w:val="0092626C"/>
    <w:rsid w:val="0093067A"/>
    <w:rsid w:val="00941C60"/>
    <w:rsid w:val="00966D42"/>
    <w:rsid w:val="00971689"/>
    <w:rsid w:val="00973E90"/>
    <w:rsid w:val="00975B07"/>
    <w:rsid w:val="00980B4A"/>
    <w:rsid w:val="00990EF1"/>
    <w:rsid w:val="009D0AFC"/>
    <w:rsid w:val="009D2A9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A19F4"/>
    <w:rsid w:val="00AB2988"/>
    <w:rsid w:val="00AB515B"/>
    <w:rsid w:val="00AB7999"/>
    <w:rsid w:val="00AD3292"/>
    <w:rsid w:val="00AE7AF0"/>
    <w:rsid w:val="00B45DA7"/>
    <w:rsid w:val="00B500CA"/>
    <w:rsid w:val="00B55269"/>
    <w:rsid w:val="00B75288"/>
    <w:rsid w:val="00B86314"/>
    <w:rsid w:val="00BA052E"/>
    <w:rsid w:val="00BA1C2E"/>
    <w:rsid w:val="00BA5D40"/>
    <w:rsid w:val="00BC200B"/>
    <w:rsid w:val="00BC4756"/>
    <w:rsid w:val="00BC69A4"/>
    <w:rsid w:val="00BE0680"/>
    <w:rsid w:val="00BE305F"/>
    <w:rsid w:val="00BE7BA3"/>
    <w:rsid w:val="00BF5682"/>
    <w:rsid w:val="00BF7B09"/>
    <w:rsid w:val="00BF7EA0"/>
    <w:rsid w:val="00C20A95"/>
    <w:rsid w:val="00C2692F"/>
    <w:rsid w:val="00C3207C"/>
    <w:rsid w:val="00C334D8"/>
    <w:rsid w:val="00C400E1"/>
    <w:rsid w:val="00C41187"/>
    <w:rsid w:val="00C463F6"/>
    <w:rsid w:val="00C464A9"/>
    <w:rsid w:val="00C5348C"/>
    <w:rsid w:val="00C63C31"/>
    <w:rsid w:val="00C745F8"/>
    <w:rsid w:val="00C757A0"/>
    <w:rsid w:val="00C760DE"/>
    <w:rsid w:val="00C82630"/>
    <w:rsid w:val="00C85B4E"/>
    <w:rsid w:val="00C907F7"/>
    <w:rsid w:val="00CA2103"/>
    <w:rsid w:val="00CB6B99"/>
    <w:rsid w:val="00CB7890"/>
    <w:rsid w:val="00CE4C87"/>
    <w:rsid w:val="00CE544A"/>
    <w:rsid w:val="00D0587B"/>
    <w:rsid w:val="00D1099B"/>
    <w:rsid w:val="00D11E1C"/>
    <w:rsid w:val="00D160B0"/>
    <w:rsid w:val="00D17F94"/>
    <w:rsid w:val="00D223FC"/>
    <w:rsid w:val="00D26D1E"/>
    <w:rsid w:val="00D3345B"/>
    <w:rsid w:val="00D474CF"/>
    <w:rsid w:val="00D5547E"/>
    <w:rsid w:val="00D869A1"/>
    <w:rsid w:val="00DA413F"/>
    <w:rsid w:val="00DA4584"/>
    <w:rsid w:val="00DA614B"/>
    <w:rsid w:val="00DC3060"/>
    <w:rsid w:val="00DE0FB2"/>
    <w:rsid w:val="00DF093E"/>
    <w:rsid w:val="00E01F42"/>
    <w:rsid w:val="00E044C0"/>
    <w:rsid w:val="00E15E91"/>
    <w:rsid w:val="00E206D6"/>
    <w:rsid w:val="00E3366E"/>
    <w:rsid w:val="00E412B6"/>
    <w:rsid w:val="00E52086"/>
    <w:rsid w:val="00E543A6"/>
    <w:rsid w:val="00E60479"/>
    <w:rsid w:val="00E61D73"/>
    <w:rsid w:val="00E73684"/>
    <w:rsid w:val="00E818D6"/>
    <w:rsid w:val="00E87F7A"/>
    <w:rsid w:val="00E910A3"/>
    <w:rsid w:val="00E96BD7"/>
    <w:rsid w:val="00EA0DB1"/>
    <w:rsid w:val="00EA0EE9"/>
    <w:rsid w:val="00EA63D0"/>
    <w:rsid w:val="00EA78DF"/>
    <w:rsid w:val="00ED5145"/>
    <w:rsid w:val="00ED52CA"/>
    <w:rsid w:val="00ED5860"/>
    <w:rsid w:val="00ED7555"/>
    <w:rsid w:val="00EE35C9"/>
    <w:rsid w:val="00F05ECA"/>
    <w:rsid w:val="00F1416D"/>
    <w:rsid w:val="00F27D24"/>
    <w:rsid w:val="00F3566E"/>
    <w:rsid w:val="00F375FB"/>
    <w:rsid w:val="00F41AC1"/>
    <w:rsid w:val="00F4367A"/>
    <w:rsid w:val="00F445B1"/>
    <w:rsid w:val="00F45CD4"/>
    <w:rsid w:val="00F513D1"/>
    <w:rsid w:val="00F66DCA"/>
    <w:rsid w:val="00F74F53"/>
    <w:rsid w:val="00F7606D"/>
    <w:rsid w:val="00F81670"/>
    <w:rsid w:val="00F82024"/>
    <w:rsid w:val="00F95BC9"/>
    <w:rsid w:val="00FA624C"/>
    <w:rsid w:val="00FA6262"/>
    <w:rsid w:val="00FC4011"/>
    <w:rsid w:val="00FD0FAC"/>
    <w:rsid w:val="00FD1DFA"/>
    <w:rsid w:val="00FD4966"/>
    <w:rsid w:val="00FE25D4"/>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7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munro@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B7AD-DC17-4253-B6E2-8D6D06BC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D83FC315</Template>
  <TotalTime>19</TotalTime>
  <Pages>6</Pages>
  <Words>1626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jason.munro</dc:creator>
  <cp:lastModifiedBy>JMitchell</cp:lastModifiedBy>
  <cp:revision>6</cp:revision>
  <cp:lastPrinted>2019-04-04T13:11:00Z</cp:lastPrinted>
  <dcterms:created xsi:type="dcterms:W3CDTF">2019-05-20T06:21:00Z</dcterms:created>
  <dcterms:modified xsi:type="dcterms:W3CDTF">2019-05-20T11:59:00Z</dcterms:modified>
</cp:coreProperties>
</file>